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A8" w:rsidRDefault="00DA28A8" w:rsidP="00895667">
      <w:pPr>
        <w:spacing w:after="0"/>
      </w:pPr>
    </w:p>
    <w:p w:rsidR="008E4E6D" w:rsidRDefault="008E4E6D" w:rsidP="00895667">
      <w:pPr>
        <w:spacing w:after="0"/>
      </w:pPr>
    </w:p>
    <w:p w:rsidR="008E4E6D" w:rsidRDefault="008E4E6D" w:rsidP="00895667">
      <w:pPr>
        <w:spacing w:after="0"/>
      </w:pPr>
    </w:p>
    <w:p w:rsidR="0054454A" w:rsidRDefault="0054454A" w:rsidP="00895667">
      <w:pPr>
        <w:spacing w:after="0"/>
      </w:pPr>
    </w:p>
    <w:p w:rsidR="0054454A" w:rsidRDefault="0054454A" w:rsidP="00895667">
      <w:pPr>
        <w:spacing w:after="0"/>
      </w:pPr>
    </w:p>
    <w:p w:rsidR="0054454A" w:rsidRDefault="0054454A"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jc w:val="center"/>
      </w:pPr>
      <w:r>
        <w:t>Least Restrictive Environment in Schools: An Examination of the Principle and Survey of Essential Services for Student Success</w:t>
      </w:r>
    </w:p>
    <w:p w:rsidR="00E53CE0" w:rsidRDefault="00E53CE0"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8E4E6D" w:rsidRDefault="008E4E6D" w:rsidP="00895667">
      <w:pPr>
        <w:spacing w:after="0"/>
      </w:pPr>
    </w:p>
    <w:p w:rsidR="008E4E6D" w:rsidRDefault="008E4E6D" w:rsidP="00895667">
      <w:pPr>
        <w:spacing w:after="0"/>
      </w:pPr>
    </w:p>
    <w:p w:rsidR="008E4E6D" w:rsidRDefault="008E4E6D"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pPr>
      <w:r>
        <w:t>Jenni Cooper</w:t>
      </w:r>
    </w:p>
    <w:p w:rsidR="00E53CE0" w:rsidRDefault="00E53CE0" w:rsidP="00895667">
      <w:pPr>
        <w:spacing w:after="0"/>
      </w:pPr>
      <w:r>
        <w:t>Joe McCauley</w:t>
      </w:r>
    </w:p>
    <w:p w:rsidR="00E53CE0" w:rsidRDefault="00E53CE0" w:rsidP="00895667">
      <w:pPr>
        <w:spacing w:after="0"/>
      </w:pPr>
      <w:r>
        <w:t>Roosevelt University</w:t>
      </w:r>
    </w:p>
    <w:p w:rsidR="00E53CE0" w:rsidRDefault="00E53CE0" w:rsidP="00895667">
      <w:pPr>
        <w:spacing w:after="0"/>
      </w:pPr>
      <w:r>
        <w:t>ELOC 401</w:t>
      </w:r>
    </w:p>
    <w:p w:rsidR="0054454A" w:rsidRDefault="008E4E6D" w:rsidP="00895667">
      <w:pPr>
        <w:spacing w:after="0"/>
      </w:pPr>
      <w:r>
        <w:t>April 29</w:t>
      </w:r>
      <w:r w:rsidR="00E53CE0">
        <w:t>, 2010</w:t>
      </w:r>
    </w:p>
    <w:p w:rsidR="0054454A" w:rsidRDefault="0054454A">
      <w:r>
        <w:br w:type="page"/>
      </w:r>
    </w:p>
    <w:p w:rsidR="00E53CE0" w:rsidRDefault="00E53CE0" w:rsidP="00895667">
      <w:pPr>
        <w:spacing w:after="0"/>
      </w:pPr>
    </w:p>
    <w:p w:rsidR="00E53CE0" w:rsidRPr="0054454A" w:rsidRDefault="00E53CE0" w:rsidP="0054454A">
      <w:pPr>
        <w:spacing w:after="0"/>
      </w:pPr>
      <w:r w:rsidRPr="00E53CE0">
        <w:rPr>
          <w:b/>
        </w:rPr>
        <w:t>Introduction</w:t>
      </w:r>
    </w:p>
    <w:p w:rsidR="00E53CE0" w:rsidRDefault="00E53CE0" w:rsidP="00895667">
      <w:pPr>
        <w:spacing w:after="0"/>
        <w:ind w:firstLine="720"/>
      </w:pPr>
      <w:r>
        <w:t xml:space="preserve">Special education in public schools in the United States is closely guided by a piece of federal legislation known as the Individuals with Disabilities Education Act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Pr="00BD12DD">
        <w:t>I</w:t>
      </w:r>
      <w:r>
        <w:t xml:space="preserve"> / </w:t>
      </w:r>
      <w:r w:rsidRPr="00BD12DD">
        <w:t>B</w:t>
      </w:r>
      <w:r>
        <w:t xml:space="preserve"> / </w:t>
      </w:r>
      <w:r w:rsidRPr="00BD12DD">
        <w:t>612</w:t>
      </w:r>
      <w:r>
        <w:t xml:space="preserve"> / </w:t>
      </w:r>
      <w:r w:rsidRPr="00BD12DD">
        <w:t>a</w:t>
      </w:r>
      <w:r>
        <w:t xml:space="preserve"> / 5)</w:t>
      </w:r>
    </w:p>
    <w:p w:rsidR="00E53CE0" w:rsidRDefault="00E53CE0" w:rsidP="00895667">
      <w:pPr>
        <w:spacing w:after="0"/>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 due to the nature or severity of their disabilities.  This arc of services from least restrictive to most restrictive is termed the “continuum of placement”, which exists in order to ensure that a team of professionals considers the child’s needs fully when deciding in which setting a child will be educated.  In principle, a team must consider a host of options from a general education class with no supplementary supports, on along the continuum before choosing to educate the child in a highly restrictive setting such as a separate school.</w:t>
      </w:r>
    </w:p>
    <w:p w:rsidR="00E53CE0" w:rsidRDefault="00E53CE0" w:rsidP="00895667">
      <w:pPr>
        <w:spacing w:after="0"/>
        <w:ind w:firstLine="720"/>
      </w:pPr>
      <w:r>
        <w:t>The most important tool in the special education profession is the child’s Individual Education Plan (IEP).  This plan is an extensive document which summarizes the child’s abilities and needs, provides evidence of the team’s decision on placement and necessary support services which would ensure the child’s success in school.   The IEP must be reviewed at a minimum of once every calendar year to determine placement and support services.  Before changing placement, an IEP team must meet and discuss the child’s progress and needs, and then determine if the child needs a more restrictive or less restrictive placement.</w:t>
      </w:r>
    </w:p>
    <w:p w:rsidR="00E53CE0" w:rsidRDefault="00E53CE0" w:rsidP="00895667">
      <w:pPr>
        <w:spacing w:after="0"/>
        <w:ind w:firstLine="720"/>
      </w:pPr>
      <w:r>
        <w:t>This begs a number of questions, based on a child’s receiving supports and an appropriate education.  Should not a child then move progressively less restrictive setting over time?  When students are placed in more restrictive environments, do they in fact move to less restrictive environments?</w:t>
      </w:r>
    </w:p>
    <w:p w:rsidR="00E53CE0" w:rsidRDefault="00E53CE0" w:rsidP="00895667">
      <w:pPr>
        <w:spacing w:after="0"/>
        <w:ind w:firstLine="720"/>
      </w:pPr>
      <w:r>
        <w:t>In order to address these questions, the authors became interested in knowing what the rate of mobility from more restrictive to less restrictive environments was, and what student supports facilitated (and conversely, what lack thereof may  prevent) the transition to a less restrictive environment.  This research project focused on students attending the most restrictive public school environments for students with social</w:t>
      </w:r>
      <w:r w:rsidR="0054454A">
        <w:t>/emotional disabilities in two</w:t>
      </w:r>
      <w:r>
        <w:t xml:space="preserve"> special </w:t>
      </w:r>
      <w:r w:rsidR="0054454A">
        <w:lastRenderedPageBreak/>
        <w:t xml:space="preserve">education cooperative districts, </w:t>
      </w:r>
      <w:r w:rsidR="00A144BF">
        <w:t>the North Shore Special Education District (</w:t>
      </w:r>
      <w:r>
        <w:t>NSSED</w:t>
      </w:r>
      <w:r w:rsidR="00A144BF">
        <w:t>), the Niles Township District for Special Education</w:t>
      </w:r>
      <w:r>
        <w:t xml:space="preserve"> </w:t>
      </w:r>
      <w:r w:rsidR="00A144BF">
        <w:t>(</w:t>
      </w:r>
      <w:r>
        <w:t>NTDSE</w:t>
      </w:r>
      <w:r w:rsidR="0054454A">
        <w:t>) as well as</w:t>
      </w:r>
      <w:r w:rsidR="00A144BF">
        <w:t xml:space="preserve"> North Shore School District #112</w:t>
      </w:r>
      <w:r>
        <w:t>.</w:t>
      </w:r>
    </w:p>
    <w:p w:rsidR="0054454A" w:rsidRDefault="0054454A" w:rsidP="00895667">
      <w:pPr>
        <w:spacing w:after="0"/>
        <w:ind w:firstLine="720"/>
      </w:pPr>
    </w:p>
    <w:p w:rsidR="00E53CE0" w:rsidRDefault="00E53CE0" w:rsidP="00895667">
      <w:pPr>
        <w:spacing w:after="0" w:line="240" w:lineRule="auto"/>
        <w:outlineLvl w:val="2"/>
        <w:rPr>
          <w:rFonts w:eastAsia="Times New Roman"/>
          <w:b/>
          <w:bCs/>
        </w:rPr>
      </w:pPr>
      <w:r>
        <w:rPr>
          <w:rFonts w:eastAsia="Times New Roman"/>
          <w:b/>
          <w:bCs/>
        </w:rPr>
        <w:t xml:space="preserve">History and the </w:t>
      </w:r>
      <w:r w:rsidRPr="007060EA">
        <w:rPr>
          <w:rFonts w:eastAsia="Times New Roman"/>
          <w:b/>
          <w:bCs/>
        </w:rPr>
        <w:t>L</w:t>
      </w:r>
      <w:r>
        <w:rPr>
          <w:rFonts w:eastAsia="Times New Roman"/>
          <w:b/>
          <w:bCs/>
        </w:rPr>
        <w:t xml:space="preserve">east </w:t>
      </w:r>
      <w:r w:rsidRPr="007060EA">
        <w:rPr>
          <w:rFonts w:eastAsia="Times New Roman"/>
          <w:b/>
          <w:bCs/>
        </w:rPr>
        <w:t>R</w:t>
      </w:r>
      <w:r>
        <w:rPr>
          <w:rFonts w:eastAsia="Times New Roman"/>
          <w:b/>
          <w:bCs/>
        </w:rPr>
        <w:t xml:space="preserve">estrictive </w:t>
      </w:r>
      <w:r w:rsidRPr="007060EA">
        <w:rPr>
          <w:rFonts w:eastAsia="Times New Roman"/>
          <w:b/>
          <w:bCs/>
        </w:rPr>
        <w:t>E</w:t>
      </w:r>
      <w:r>
        <w:rPr>
          <w:rFonts w:eastAsia="Times New Roman"/>
          <w:b/>
          <w:bCs/>
        </w:rPr>
        <w:t>nvironment Defined</w:t>
      </w:r>
    </w:p>
    <w:p w:rsidR="00E53CE0" w:rsidRDefault="00E53CE0" w:rsidP="00895667">
      <w:pPr>
        <w:spacing w:after="0" w:line="240" w:lineRule="auto"/>
        <w:ind w:firstLine="720"/>
        <w:outlineLvl w:val="2"/>
        <w:rPr>
          <w:rFonts w:eastAsia="Times New Roman"/>
          <w:bCs/>
        </w:rPr>
      </w:pPr>
      <w:r>
        <w:rPr>
          <w:rFonts w:eastAsia="Times New Roman"/>
          <w:bCs/>
        </w:rPr>
        <w:t>Educating a child with special needs in the least restrictive environment (LRE) possible is a concept that developed over time within the evolution of federal legislation regarding serving special needs children.  This legislation arose out of the problem of children with special needs being excluded from school, in some cases, entirely.  Schools lacked facilities to educate these children, as well as teachers with the necessary expertise to educate children with special needs</w:t>
      </w:r>
      <w:r w:rsidRPr="00DA28A8">
        <w:rPr>
          <w:rFonts w:eastAsia="Times New Roman"/>
          <w:bCs/>
        </w:rPr>
        <w:t>(Crockett,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The concerns of a number of parent advocates that school districts were at best doing nothing to educate their children, and at worst, excluding their children from the opportunities for education, led to the pursuit of a number of legal cases which resulted in important federal mandates attempting to ensure an educational experiences for children with disabilities.  Drawing inspiration from the twentieth century’s most important piece of civil rights legislation, Brown v the Topeka Board of Education, parent and legal advocates pursued educational rights for children with disabilities </w:t>
      </w:r>
      <w:r w:rsidRPr="00DA28A8">
        <w:rPr>
          <w:rFonts w:eastAsia="Times New Roman"/>
          <w:bCs/>
        </w:rPr>
        <w:t>(McLaughlin, 2010).</w:t>
      </w:r>
      <w:r>
        <w:rPr>
          <w:rFonts w:eastAsia="Times New Roman"/>
          <w:bCs/>
        </w:rPr>
        <w:t xml:space="preserve">  Two particular cases, the Pennsylvania Association of Retarded Citizens (PARC) v the Commonwealth of Pennsylvania and a case from Washington, D.C., Mills v the Board of Education, drew upon the arguments posited in Brown, utilizing the 14</w:t>
      </w:r>
      <w:r w:rsidRPr="001D66AA">
        <w:rPr>
          <w:rFonts w:eastAsia="Times New Roman"/>
          <w:bCs/>
          <w:vertAlign w:val="superscript"/>
        </w:rPr>
        <w:t>th</w:t>
      </w:r>
      <w:r>
        <w:rPr>
          <w:rFonts w:eastAsia="Times New Roman"/>
          <w:bCs/>
        </w:rPr>
        <w:t xml:space="preserve"> Amendment of the Unites States Constitution as its base.  Whereas Brown argued that skin color was the barrier to equal protection under the law, the lawyers in the PARC and Mills cases applied this concept to physical, cognitive and behavioral disabilities </w:t>
      </w:r>
      <w:r w:rsidRPr="00DA28A8">
        <w:rPr>
          <w:rFonts w:eastAsia="Times New Roman"/>
          <w:bCs/>
        </w:rPr>
        <w:t>(Palley, 2009).</w:t>
      </w:r>
    </w:p>
    <w:p w:rsidR="00E53CE0" w:rsidRDefault="00E53CE0" w:rsidP="00895667">
      <w:pPr>
        <w:spacing w:after="0" w:line="240" w:lineRule="auto"/>
        <w:ind w:firstLine="720"/>
        <w:outlineLvl w:val="2"/>
        <w:rPr>
          <w:rFonts w:eastAsia="Times New Roman"/>
          <w:bCs/>
        </w:rPr>
      </w:pPr>
      <w:r>
        <w:rPr>
          <w:rFonts w:eastAsia="Times New Roman"/>
          <w:bCs/>
        </w:rPr>
        <w:t xml:space="preserve">The result of this legislation was the 1975 Education for Handicapped Person’s Act, also known as PL 94-14 which essentially created the current delivery model for special education in this country.  This goal of this act was to give education for all students, establish the process of developing a student’s Individual Education Plan (IEP), giving parents the right to have their children receive an education </w:t>
      </w:r>
      <w:r w:rsidRPr="00DA28A8">
        <w:rPr>
          <w:rFonts w:eastAsia="Times New Roman"/>
          <w:bCs/>
        </w:rPr>
        <w:t>(Crockett 2000).</w:t>
      </w:r>
      <w:r>
        <w:rPr>
          <w:rFonts w:eastAsia="Times New Roman"/>
          <w:bCs/>
        </w:rPr>
        <w:t xml:space="preserve">  </w:t>
      </w:r>
    </w:p>
    <w:p w:rsidR="00E53CE0" w:rsidRDefault="00E53CE0" w:rsidP="00895667">
      <w:pPr>
        <w:spacing w:after="0" w:line="240" w:lineRule="auto"/>
        <w:ind w:firstLine="720"/>
        <w:outlineLvl w:val="2"/>
        <w:rPr>
          <w:rFonts w:eastAsia="Times New Roman"/>
          <w:bCs/>
        </w:rPr>
      </w:pPr>
      <w:r>
        <w:rPr>
          <w:rFonts w:eastAsia="Times New Roman"/>
          <w:bCs/>
        </w:rPr>
        <w:t>PL 94-142 also addressed the need for what is termed a continuum of placement services.  This continuum would outline what would eventually be termed least restrictive environment (LRE).  This describes a series of educational placement options, the least restrictive environment possible being a child with disabilities participating fully in a classroom with no supports necessary, the next being pulled out of the classroom for extra supports, then placement in a separate special education classroom, separate schooling and hospitalization</w:t>
      </w:r>
      <w:r w:rsidRPr="00DA28A8">
        <w:rPr>
          <w:rFonts w:eastAsia="Times New Roman"/>
          <w:bCs/>
        </w:rPr>
        <w:t>(Fuchs, et al, 2010).</w:t>
      </w:r>
      <w:r>
        <w:rPr>
          <w:rFonts w:eastAsia="Times New Roman"/>
          <w:bCs/>
        </w:rPr>
        <w:t xml:space="preserve">  The law mandated that decisions to move a child along this continuum be made by a team of professionals who would advocate for placement based on the individual needs of the child and the supports available to the school (Crockett,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LRE was given even more attention in the passing in 1997 of the Individuals with Disabilities Education Act (IDEA), and its update in 2004 </w:t>
      </w:r>
      <w:r w:rsidRPr="00DA28A8">
        <w:rPr>
          <w:rFonts w:eastAsia="Times New Roman"/>
          <w:bCs/>
        </w:rPr>
        <w:t>(Crockett, 2000).</w:t>
      </w:r>
      <w:r>
        <w:rPr>
          <w:rFonts w:eastAsia="Times New Roman"/>
          <w:bCs/>
        </w:rPr>
        <w:t xml:space="preserve">  All the essential pieces of 94-142 were kept in place, with special emphasis on the idea that the IEP team should always consider LRE in providing a child with services.  The emphasis shifted toward a movement often termed mainstreaming or inclusion, which advocates placing a child as much as possible in an environment with their nondisabled peers </w:t>
      </w:r>
      <w:r w:rsidRPr="00DA28A8">
        <w:rPr>
          <w:rFonts w:eastAsia="Times New Roman"/>
          <w:bCs/>
        </w:rPr>
        <w:t>(McLaughlin, 2010)</w:t>
      </w:r>
      <w:r>
        <w:rPr>
          <w:rFonts w:eastAsia="Times New Roman"/>
          <w:bCs/>
        </w:rPr>
        <w:t>.</w:t>
      </w:r>
    </w:p>
    <w:p w:rsidR="00E53CE0" w:rsidRDefault="00E53CE0" w:rsidP="00895667">
      <w:pPr>
        <w:spacing w:after="0" w:line="240" w:lineRule="auto"/>
        <w:ind w:firstLine="720"/>
        <w:outlineLvl w:val="2"/>
        <w:rPr>
          <w:rFonts w:eastAsia="Times New Roman"/>
          <w:bCs/>
        </w:rPr>
      </w:pPr>
      <w:r>
        <w:rPr>
          <w:rFonts w:eastAsia="Times New Roman"/>
          <w:bCs/>
        </w:rPr>
        <w:t xml:space="preserve">Nevertheless, there remains controversy as to what defines a child’s LRE.  Some would argue that a student who is thriving in a highly restrictive environment, such as a separate day school would therefore be educated in their least restrictive environment (Crocket, 2000).  </w:t>
      </w:r>
      <w:r>
        <w:rPr>
          <w:rFonts w:eastAsia="Times New Roman"/>
          <w:bCs/>
        </w:rPr>
        <w:lastRenderedPageBreak/>
        <w:t>However, the argument exists that each child should perhaps move through the continuum of placements.  Therefore, a child being educated in a district’s most restrictive environment, upon proof of progress, should be allowed to move back up the continuum (Palley 2009).  However, the law provides little guidance in regards to the issues surrounding LRE.  Palley notes, “standards for providing the least restrictive environment remain judicially defined in inconsistent ways.”  This can make it difficult for education teams to apply the principles of the law appropriately.</w:t>
      </w:r>
    </w:p>
    <w:p w:rsidR="00E53CE0" w:rsidRDefault="00E53CE0" w:rsidP="00895667">
      <w:pPr>
        <w:spacing w:after="0" w:line="240" w:lineRule="auto"/>
        <w:ind w:firstLine="720"/>
        <w:outlineLvl w:val="2"/>
        <w:rPr>
          <w:rFonts w:eastAsia="Times New Roman"/>
          <w:bCs/>
        </w:rPr>
      </w:pPr>
      <w:r>
        <w:rPr>
          <w:rFonts w:eastAsia="Times New Roman"/>
          <w:bCs/>
        </w:rPr>
        <w:t>The primary concern for professionals, with the guidance of IDEA is to place the child in the most appropriate setting possible.  The process established by the law, requires the team to review an IEP annually and determine placement (Crockett, 2000).  There is increasing pressure, particularly since the passing of No Child Left Behind, to raise the standards for special needs students, to place them in the LRE (McLaughlin, 2010).  The question arises, are educators trying to raise the bar for students and therefore help them achieve, or children with disabilities being held to an unfair standard?</w:t>
      </w:r>
    </w:p>
    <w:p w:rsidR="00E53CE0" w:rsidRDefault="00E53CE0" w:rsidP="00895667">
      <w:pPr>
        <w:spacing w:after="0" w:line="240" w:lineRule="auto"/>
        <w:ind w:firstLine="720"/>
        <w:outlineLvl w:val="2"/>
        <w:rPr>
          <w:rFonts w:eastAsia="Times New Roman"/>
          <w:bCs/>
        </w:rPr>
      </w:pPr>
      <w:r>
        <w:rPr>
          <w:rFonts w:eastAsia="Times New Roman"/>
          <w:bCs/>
        </w:rPr>
        <w:t>When considering the educational setting for a child with disabilities, the team must consider the supports necessary for that child to be successful (Source) in that setting.  This is intended to be a well thought out process, “in which a wide array of variables need to be taken into consideration” (Moore 2008).  This can be a tricky process because “placement or setting can be facilitating or restrictive, depending on …settings that comprise a given context” (Rueda, et al 2000).  An example of this problem is presented in the following hypothetical: If a child with a learning disability would be placed in what is technically a less restrictive setting such as a regular classroom, but does not receive supports that may be necessary for that child to thrive in that classroom, the setting therefore becomes, in theory, more restrictive for that child than placement in the technically more restrictive setting of a separate instructional classroom where that child would receive the individualized supports necessary to access curriculum successfully.  Thus, “the IEP team is to determine what resources the student may need to reach the common outcomes” (McLaughlin, 2010).</w:t>
      </w:r>
    </w:p>
    <w:p w:rsidR="00E53CE0" w:rsidRPr="00DA28A8" w:rsidRDefault="00E53CE0" w:rsidP="00895667">
      <w:pPr>
        <w:spacing w:after="0" w:line="240" w:lineRule="auto"/>
        <w:ind w:firstLine="720"/>
        <w:outlineLvl w:val="2"/>
        <w:rPr>
          <w:rFonts w:eastAsia="Times New Roman"/>
          <w:bCs/>
        </w:rPr>
      </w:pPr>
      <w:r>
        <w:rPr>
          <w:rFonts w:eastAsia="Times New Roman"/>
          <w:bCs/>
        </w:rPr>
        <w:t>The purpose of the study conducted by the authors was to survey educational professionals in an attempt to determine what supports were most needed for a child with a disability to thrive in a setting that is most like those of their nondisabled peers.</w:t>
      </w:r>
      <w:r w:rsidR="0054454A">
        <w:rPr>
          <w:rFonts w:eastAsia="Times New Roman"/>
          <w:bCs/>
        </w:rPr>
        <w:t xml:space="preserve"> Resources within the literature regarding this topic is scant, hence the survey was conducted to gather professional opinions as to the most common practices and supports observed by both authors.</w:t>
      </w:r>
    </w:p>
    <w:p w:rsidR="00895667" w:rsidRDefault="00895667" w:rsidP="00895667">
      <w:pPr>
        <w:spacing w:after="0" w:line="240" w:lineRule="auto"/>
        <w:rPr>
          <w:b/>
        </w:rPr>
      </w:pPr>
    </w:p>
    <w:p w:rsidR="00E53CE0" w:rsidRDefault="00E53CE0" w:rsidP="00895667">
      <w:pPr>
        <w:spacing w:after="0" w:line="240" w:lineRule="auto"/>
      </w:pPr>
      <w:r w:rsidRPr="00E53CE0">
        <w:rPr>
          <w:b/>
        </w:rPr>
        <w:t>Methodology</w:t>
      </w:r>
    </w:p>
    <w:p w:rsidR="00E53CE0" w:rsidRDefault="00E53CE0" w:rsidP="00895667">
      <w:pPr>
        <w:spacing w:after="0" w:line="240" w:lineRule="auto"/>
      </w:pPr>
      <w:r>
        <w:tab/>
        <w:t>The authors collec</w:t>
      </w:r>
      <w:r w:rsidR="00F70A94">
        <w:t>ted research data from their re</w:t>
      </w:r>
      <w:r>
        <w:t>spective districts,</w:t>
      </w:r>
      <w:r w:rsidR="00E21732" w:rsidRPr="00E21732">
        <w:t xml:space="preserve"> </w:t>
      </w:r>
      <w:r w:rsidR="00E21732">
        <w:t>Niles Township District for Special Education (NTDSE), North Shore School District #112 (NSSD11</w:t>
      </w:r>
      <w:r w:rsidR="0054454A">
        <w:t>2) as well as the special education cooperative</w:t>
      </w:r>
      <w:r w:rsidR="00E21732">
        <w:t xml:space="preserve"> associated with NSSD 122: the </w:t>
      </w:r>
      <w:r>
        <w:t>North Shore Special Education</w:t>
      </w:r>
      <w:r w:rsidR="00E21732">
        <w:t xml:space="preserve"> District</w:t>
      </w:r>
      <w:r>
        <w:t xml:space="preserve"> (N</w:t>
      </w:r>
      <w:r w:rsidR="0054454A">
        <w:t>SSED)</w:t>
      </w:r>
      <w:r>
        <w:t>. The sample was taken from</w:t>
      </w:r>
      <w:r w:rsidR="00E21732">
        <w:t xml:space="preserve"> general and special education</w:t>
      </w:r>
      <w:r>
        <w:t xml:space="preserve"> teachers, case managers, administrators, psychologists, and learning coordinators from each district. There were 36 total participants (3 teachers, 5 case managers, 18 administrators, 8 psychologists and 2 learning coordinators). Each participant was asked to describe his or her current position in the district. They were permitted to select one of the five options.  Many of the respondents play more than one role for their district. </w:t>
      </w:r>
    </w:p>
    <w:p w:rsidR="00115973" w:rsidRDefault="00E53CE0" w:rsidP="00895667">
      <w:pPr>
        <w:spacing w:after="0" w:line="240" w:lineRule="auto"/>
      </w:pPr>
      <w:r>
        <w:tab/>
      </w:r>
      <w:r w:rsidR="00E21732">
        <w:t>The data was collected through</w:t>
      </w:r>
      <w:r>
        <w:t xml:space="preserve"> survey created by the authors. The authors cr</w:t>
      </w:r>
      <w:r w:rsidR="00E21732">
        <w:t xml:space="preserve">eated the survey via the online resource Survey monkey.com.  </w:t>
      </w:r>
      <w:r>
        <w:t>The survey</w:t>
      </w:r>
      <w:r w:rsidR="00E21732">
        <w:t xml:space="preserve"> consisted </w:t>
      </w:r>
      <w:r w:rsidR="00115973">
        <w:t>of eight questions:</w:t>
      </w:r>
    </w:p>
    <w:p w:rsidR="00115973" w:rsidRDefault="00D90042" w:rsidP="00895667">
      <w:pPr>
        <w:pStyle w:val="ListParagraph"/>
        <w:numPr>
          <w:ilvl w:val="0"/>
          <w:numId w:val="2"/>
        </w:numPr>
        <w:spacing w:after="0" w:line="240" w:lineRule="auto"/>
        <w:rPr>
          <w:rStyle w:val="notranslate"/>
        </w:rPr>
      </w:pPr>
      <w:r>
        <w:rPr>
          <w:rStyle w:val="notranslate"/>
        </w:rPr>
        <w:t>Please describe your current position</w:t>
      </w:r>
    </w:p>
    <w:p w:rsidR="00D90042" w:rsidRDefault="00D90042" w:rsidP="00895667">
      <w:pPr>
        <w:pStyle w:val="ListParagraph"/>
        <w:numPr>
          <w:ilvl w:val="0"/>
          <w:numId w:val="2"/>
        </w:numPr>
        <w:spacing w:after="0" w:line="240" w:lineRule="auto"/>
        <w:rPr>
          <w:rStyle w:val="notranslate"/>
        </w:rPr>
      </w:pPr>
      <w:r>
        <w:rPr>
          <w:rStyle w:val="notranslate"/>
        </w:rPr>
        <w:lastRenderedPageBreak/>
        <w:t>What percentage of your special needs students are served in each capacity?</w:t>
      </w:r>
      <w:r w:rsidR="0054454A">
        <w:rPr>
          <w:rStyle w:val="notranslate"/>
        </w:rPr>
        <w:t xml:space="preserve">  This question provided five choices across the continuum of placement: general education without supports, 20% of the school day spent receiving special education support, 40% of the day receiving special education supports and more than 60% of the day receiving special education support.</w:t>
      </w:r>
    </w:p>
    <w:p w:rsidR="00D90042" w:rsidRDefault="00D90042" w:rsidP="00895667">
      <w:pPr>
        <w:pStyle w:val="ListParagraph"/>
        <w:numPr>
          <w:ilvl w:val="0"/>
          <w:numId w:val="2"/>
        </w:numPr>
        <w:spacing w:after="0" w:line="240" w:lineRule="auto"/>
        <w:rPr>
          <w:rStyle w:val="notranslate"/>
        </w:rPr>
      </w:pPr>
      <w:r>
        <w:rPr>
          <w:rStyle w:val="notranslate"/>
        </w:rPr>
        <w:t>What percentage of students would you say move from a more restrictive to a less restrictive environment in each setting?</w:t>
      </w:r>
      <w:r w:rsidR="0054454A">
        <w:rPr>
          <w:rStyle w:val="notranslate"/>
        </w:rPr>
        <w:t xml:space="preserve">  Respondents then chose from the four main settings in the continuum: Resource (20% of day or less) to full inclusion, </w:t>
      </w:r>
      <w:r w:rsidR="00191ECD">
        <w:rPr>
          <w:rStyle w:val="notranslate"/>
        </w:rPr>
        <w:t>instructional (self-contained) class to resource, instructional to full inclusion, and separate school to instructional class in general education school.</w:t>
      </w:r>
    </w:p>
    <w:p w:rsidR="00D90042" w:rsidRDefault="00D90042" w:rsidP="00895667">
      <w:pPr>
        <w:pStyle w:val="ListParagraph"/>
        <w:numPr>
          <w:ilvl w:val="0"/>
          <w:numId w:val="2"/>
        </w:numPr>
        <w:spacing w:after="0" w:line="240" w:lineRule="auto"/>
        <w:rPr>
          <w:rStyle w:val="notranslate"/>
        </w:rPr>
      </w:pPr>
      <w:r>
        <w:rPr>
          <w:rStyle w:val="notranslate"/>
        </w:rPr>
        <w:t>What are the most important supports for student success in the LRE?</w:t>
      </w:r>
      <w:r w:rsidR="00191ECD">
        <w:rPr>
          <w:rStyle w:val="notranslate"/>
        </w:rPr>
        <w:t xml:space="preserve">  Respondents were asked to rate the importance of common supports for students: special education teachers, differentiated instruction, teaching assistants, research-based curriculum, research based intervention materials, social workers, speech/language pathologists, common planning time for teachers, behavior specialists, and reading specialists.</w:t>
      </w:r>
    </w:p>
    <w:p w:rsidR="00D90042" w:rsidRDefault="00DA28A8" w:rsidP="00895667">
      <w:pPr>
        <w:pStyle w:val="ListParagraph"/>
        <w:numPr>
          <w:ilvl w:val="0"/>
          <w:numId w:val="2"/>
        </w:numPr>
        <w:spacing w:after="0" w:line="240" w:lineRule="auto"/>
        <w:rPr>
          <w:rStyle w:val="notranslate"/>
        </w:rPr>
      </w:pPr>
      <w:r>
        <w:rPr>
          <w:rStyle w:val="notranslate"/>
        </w:rPr>
        <w:t>What supports does your school/</w:t>
      </w:r>
      <w:r w:rsidR="00D90042">
        <w:rPr>
          <w:rStyle w:val="notranslate"/>
        </w:rPr>
        <w:t>district have to meet the needs of students with disabilities in the classroom?</w:t>
      </w:r>
      <w:r w:rsidR="00191ECD">
        <w:rPr>
          <w:rStyle w:val="notranslate"/>
        </w:rPr>
        <w:t xml:space="preserve"> Given the same list of supports in Question 4, respondents then indicated which were available in their schools.</w:t>
      </w:r>
    </w:p>
    <w:p w:rsidR="00D90042" w:rsidRDefault="00D90042" w:rsidP="00895667">
      <w:pPr>
        <w:pStyle w:val="ListParagraph"/>
        <w:numPr>
          <w:ilvl w:val="0"/>
          <w:numId w:val="2"/>
        </w:numPr>
        <w:spacing w:after="0" w:line="240" w:lineRule="auto"/>
        <w:rPr>
          <w:rStyle w:val="notranslate"/>
        </w:rPr>
      </w:pPr>
      <w:r>
        <w:rPr>
          <w:rStyle w:val="notranslate"/>
        </w:rPr>
        <w:t>At the school level, which professionals should be involved in the transition of a student to a less restrictive setting?</w:t>
      </w:r>
      <w:r w:rsidR="00191ECD">
        <w:rPr>
          <w:rStyle w:val="notranslate"/>
        </w:rPr>
        <w:t xml:space="preserve">  Respondents chose and rated the importance of professionals such as special education teachers, school psychologists, resource teachers, school administrators and speech pathologists.</w:t>
      </w:r>
    </w:p>
    <w:p w:rsidR="00D90042" w:rsidRDefault="00D90042" w:rsidP="00895667">
      <w:pPr>
        <w:pStyle w:val="ListParagraph"/>
        <w:numPr>
          <w:ilvl w:val="0"/>
          <w:numId w:val="2"/>
        </w:numPr>
        <w:spacing w:after="0" w:line="240" w:lineRule="auto"/>
        <w:rPr>
          <w:rStyle w:val="notranslate"/>
        </w:rPr>
      </w:pPr>
      <w:r>
        <w:rPr>
          <w:rStyle w:val="notranslate"/>
        </w:rPr>
        <w:t>When transitioning a student to a less restrictive setting, which team members should communicate, and how often?</w:t>
      </w:r>
      <w:r w:rsidR="00191ECD">
        <w:rPr>
          <w:rStyle w:val="notranslate"/>
        </w:rPr>
        <w:t xml:space="preserve">  Using the same list as in Question 6, respondents indicated which were the most important in a communication loop of professionals facilitating a child’s transition across the continuum of placement.</w:t>
      </w:r>
    </w:p>
    <w:p w:rsidR="00D90042" w:rsidRDefault="00D90042" w:rsidP="00895667">
      <w:pPr>
        <w:pStyle w:val="ListParagraph"/>
        <w:numPr>
          <w:ilvl w:val="0"/>
          <w:numId w:val="2"/>
        </w:numPr>
        <w:spacing w:after="0" w:line="240" w:lineRule="auto"/>
      </w:pPr>
      <w:r>
        <w:rPr>
          <w:rStyle w:val="notranslate"/>
        </w:rPr>
        <w:t>What is the most appropriate venue for this communication?</w:t>
      </w:r>
      <w:r w:rsidR="00191ECD">
        <w:rPr>
          <w:rStyle w:val="notranslate"/>
        </w:rPr>
        <w:t xml:space="preserve">  Respondents then chose from face to face, e-mail, or phone conversation.</w:t>
      </w:r>
    </w:p>
    <w:p w:rsidR="00115973" w:rsidRDefault="00115973" w:rsidP="00895667">
      <w:pPr>
        <w:spacing w:after="0" w:line="240" w:lineRule="auto"/>
      </w:pPr>
    </w:p>
    <w:p w:rsidR="00E53CE0" w:rsidRDefault="00E53CE0" w:rsidP="00895667">
      <w:pPr>
        <w:spacing w:after="0" w:line="240" w:lineRule="auto"/>
        <w:ind w:firstLine="360"/>
      </w:pPr>
      <w:r>
        <w:t xml:space="preserve">The participants were given one week to take the survey. </w:t>
      </w:r>
    </w:p>
    <w:p w:rsidR="00211467" w:rsidRDefault="00211467" w:rsidP="00191ECD">
      <w:pPr>
        <w:spacing w:after="0" w:line="240" w:lineRule="auto"/>
      </w:pPr>
    </w:p>
    <w:p w:rsidR="00B75146" w:rsidRPr="00191ECD" w:rsidRDefault="00B75146" w:rsidP="00191ECD">
      <w:pPr>
        <w:rPr>
          <w:b/>
        </w:rPr>
      </w:pPr>
      <w:r>
        <w:rPr>
          <w:b/>
        </w:rPr>
        <w:t>Tables:</w:t>
      </w:r>
      <w:r w:rsidR="00211467" w:rsidRPr="003D33E2">
        <w:rPr>
          <w:noProof/>
        </w:rPr>
        <w:drawing>
          <wp:inline distT="0" distB="0" distL="0" distR="0">
            <wp:extent cx="5943600" cy="2085975"/>
            <wp:effectExtent l="19050" t="0" r="19050" b="0"/>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91ECD" w:rsidRDefault="00211467" w:rsidP="00B75146">
      <w:pPr>
        <w:spacing w:after="0"/>
      </w:pPr>
      <w:r>
        <w:t>Table 1</w:t>
      </w:r>
    </w:p>
    <w:p w:rsidR="00B75146" w:rsidRDefault="00B75146" w:rsidP="00B75146">
      <w:pPr>
        <w:spacing w:after="0"/>
      </w:pPr>
      <w:r w:rsidRPr="00B75146">
        <w:rPr>
          <w:noProof/>
        </w:rPr>
        <w:lastRenderedPageBreak/>
        <w:drawing>
          <wp:inline distT="0" distB="0" distL="0" distR="0">
            <wp:extent cx="5943600" cy="3131106"/>
            <wp:effectExtent l="19050" t="0" r="1905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75146" w:rsidRDefault="00B75146" w:rsidP="00B75146">
      <w:pPr>
        <w:spacing w:after="0"/>
      </w:pPr>
      <w:r>
        <w:t>Table 2</w:t>
      </w:r>
    </w:p>
    <w:p w:rsidR="00211467" w:rsidRDefault="00211467" w:rsidP="00B75146">
      <w:pPr>
        <w:spacing w:after="0"/>
      </w:pPr>
    </w:p>
    <w:p w:rsidR="00211467" w:rsidRDefault="00211467" w:rsidP="00B75146">
      <w:pPr>
        <w:spacing w:after="0"/>
      </w:pPr>
    </w:p>
    <w:p w:rsidR="00211467" w:rsidRDefault="00211467" w:rsidP="00B75146">
      <w:pPr>
        <w:spacing w:after="0"/>
      </w:pPr>
    </w:p>
    <w:p w:rsidR="00B75146" w:rsidRDefault="00B75146" w:rsidP="00B75146">
      <w:pPr>
        <w:spacing w:after="0"/>
      </w:pPr>
      <w:r w:rsidRPr="00B75146">
        <w:rPr>
          <w:noProof/>
        </w:rPr>
        <w:drawing>
          <wp:inline distT="0" distB="0" distL="0" distR="0">
            <wp:extent cx="5943600" cy="2810324"/>
            <wp:effectExtent l="19050" t="0" r="19050" b="9076"/>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5146" w:rsidRDefault="00B75146" w:rsidP="00B75146">
      <w:pPr>
        <w:spacing w:after="0"/>
      </w:pPr>
      <w:r>
        <w:t>Table 3</w:t>
      </w:r>
    </w:p>
    <w:p w:rsidR="00B75146" w:rsidRDefault="00B75146" w:rsidP="00B75146">
      <w:pPr>
        <w:spacing w:after="0"/>
      </w:pPr>
    </w:p>
    <w:p w:rsidR="00B75146" w:rsidRDefault="00B75146" w:rsidP="00B75146">
      <w:pPr>
        <w:spacing w:after="0"/>
      </w:pPr>
    </w:p>
    <w:p w:rsidR="00B75146" w:rsidRDefault="00B75146" w:rsidP="00B75146">
      <w:pPr>
        <w:spacing w:after="0"/>
      </w:pPr>
      <w:r w:rsidRPr="00B75146">
        <w:rPr>
          <w:noProof/>
        </w:rPr>
        <w:lastRenderedPageBreak/>
        <w:drawing>
          <wp:inline distT="0" distB="0" distL="0" distR="0">
            <wp:extent cx="5943600" cy="3737503"/>
            <wp:effectExtent l="19050" t="0" r="19050" b="0"/>
            <wp:docPr id="7"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5146" w:rsidRDefault="00B75146" w:rsidP="00B75146">
      <w:pPr>
        <w:spacing w:after="0"/>
      </w:pPr>
      <w:r>
        <w:t>Table 4</w:t>
      </w:r>
    </w:p>
    <w:p w:rsidR="00211467" w:rsidRDefault="00211467" w:rsidP="00B75146">
      <w:pPr>
        <w:spacing w:after="0"/>
      </w:pPr>
    </w:p>
    <w:p w:rsidR="00211467" w:rsidRDefault="00211467" w:rsidP="00B75146">
      <w:pPr>
        <w:spacing w:after="0"/>
      </w:pPr>
    </w:p>
    <w:p w:rsidR="00B75146" w:rsidRDefault="00B75146" w:rsidP="00B75146">
      <w:pPr>
        <w:spacing w:after="0"/>
      </w:pPr>
      <w:r w:rsidRPr="00B75146">
        <w:rPr>
          <w:noProof/>
        </w:rPr>
        <w:drawing>
          <wp:inline distT="0" distB="0" distL="0" distR="0">
            <wp:extent cx="5943600" cy="3224306"/>
            <wp:effectExtent l="19050" t="0" r="1905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5146" w:rsidRDefault="00B75146" w:rsidP="00B75146">
      <w:pPr>
        <w:spacing w:after="0"/>
      </w:pPr>
      <w:r>
        <w:t>Table 5</w:t>
      </w:r>
    </w:p>
    <w:p w:rsidR="00B75146" w:rsidRDefault="00B75146" w:rsidP="00B75146">
      <w:pPr>
        <w:spacing w:after="0"/>
      </w:pPr>
      <w:r w:rsidRPr="00B75146">
        <w:rPr>
          <w:noProof/>
        </w:rPr>
        <w:lastRenderedPageBreak/>
        <w:drawing>
          <wp:inline distT="0" distB="0" distL="0" distR="0">
            <wp:extent cx="5943600" cy="4086225"/>
            <wp:effectExtent l="19050" t="0" r="19050"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75146" w:rsidRDefault="00B75146" w:rsidP="00B75146">
      <w:pPr>
        <w:spacing w:after="0"/>
      </w:pPr>
      <w:r>
        <w:t>Table 6</w:t>
      </w:r>
    </w:p>
    <w:p w:rsidR="00211467" w:rsidRDefault="00211467" w:rsidP="00B75146">
      <w:pPr>
        <w:spacing w:after="0"/>
      </w:pPr>
    </w:p>
    <w:p w:rsidR="00B75146" w:rsidRDefault="00B75146" w:rsidP="00B75146">
      <w:pPr>
        <w:spacing w:after="0"/>
      </w:pPr>
      <w:r w:rsidRPr="00B75146">
        <w:rPr>
          <w:noProof/>
        </w:rPr>
        <w:drawing>
          <wp:inline distT="0" distB="0" distL="0" distR="0">
            <wp:extent cx="5943600" cy="3209925"/>
            <wp:effectExtent l="19050" t="0" r="19050" b="0"/>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5146" w:rsidRDefault="00B75146" w:rsidP="00B75146">
      <w:pPr>
        <w:spacing w:after="0"/>
      </w:pPr>
      <w:r>
        <w:t>Table 7</w:t>
      </w:r>
    </w:p>
    <w:p w:rsidR="00B75146" w:rsidRDefault="00B75146" w:rsidP="00B75146">
      <w:pPr>
        <w:spacing w:after="0"/>
      </w:pPr>
    </w:p>
    <w:p w:rsidR="00B75146" w:rsidRDefault="00B75146" w:rsidP="00B75146">
      <w:pPr>
        <w:spacing w:after="0"/>
      </w:pPr>
      <w:r w:rsidRPr="00B75146">
        <w:rPr>
          <w:noProof/>
        </w:rPr>
        <w:lastRenderedPageBreak/>
        <w:drawing>
          <wp:inline distT="0" distB="0" distL="0" distR="0">
            <wp:extent cx="5943600" cy="3114675"/>
            <wp:effectExtent l="19050" t="0" r="19050" b="0"/>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5146" w:rsidRDefault="00211467" w:rsidP="00B75146">
      <w:pPr>
        <w:spacing w:after="0"/>
      </w:pPr>
      <w:r>
        <w:t>Table 8</w:t>
      </w:r>
    </w:p>
    <w:p w:rsidR="00B75146" w:rsidRDefault="00B75146" w:rsidP="00B75146">
      <w:pPr>
        <w:spacing w:after="0" w:line="240" w:lineRule="auto"/>
      </w:pPr>
    </w:p>
    <w:p w:rsidR="00895667" w:rsidRDefault="00895667" w:rsidP="00895667">
      <w:pPr>
        <w:spacing w:after="0" w:line="240" w:lineRule="auto"/>
        <w:ind w:firstLine="360"/>
      </w:pPr>
    </w:p>
    <w:p w:rsidR="00BB3CDE" w:rsidRPr="009E054B" w:rsidRDefault="00636A46" w:rsidP="00895667">
      <w:pPr>
        <w:spacing w:after="0"/>
        <w:rPr>
          <w:b/>
          <w:u w:val="single"/>
        </w:rPr>
      </w:pPr>
      <w:r w:rsidRPr="001722E7">
        <w:rPr>
          <w:b/>
          <w:u w:val="single"/>
        </w:rPr>
        <w:t>Results</w:t>
      </w:r>
      <w:r>
        <w:rPr>
          <w:b/>
          <w:u w:val="single"/>
        </w:rPr>
        <w:t xml:space="preserve"> and Discussion</w:t>
      </w:r>
      <w:r w:rsidRPr="001722E7">
        <w:rPr>
          <w:b/>
          <w:u w:val="single"/>
        </w:rPr>
        <w:t>:</w:t>
      </w:r>
    </w:p>
    <w:p w:rsidR="00636A46" w:rsidRDefault="00636A46" w:rsidP="00CC08F3">
      <w:pPr>
        <w:spacing w:after="0"/>
        <w:ind w:firstLine="720"/>
      </w:pPr>
      <w:r>
        <w:t>The survey received 36 responses, 90% of which were from administrators in the respective districts that were surveyed.</w:t>
      </w:r>
      <w:r w:rsidR="00CC08F3">
        <w:t xml:space="preserve">  </w:t>
      </w:r>
      <w:r w:rsidR="00BB3CDE">
        <w:t>Regarding</w:t>
      </w:r>
      <w:r w:rsidR="004A4F8D">
        <w:t xml:space="preserve"> the percentage of students served in each capacity across the continuum of placement from least restrictive, r</w:t>
      </w:r>
      <w:r>
        <w:t>esults indicate</w:t>
      </w:r>
      <w:r w:rsidR="004A4F8D">
        <w:t>d</w:t>
      </w:r>
      <w:r w:rsidR="001E5BFA">
        <w:t xml:space="preserve"> that students we</w:t>
      </w:r>
      <w:r>
        <w:t>re served in each capacity, indicating and even distribution across the continuum of services.</w:t>
      </w:r>
      <w:r w:rsidR="001E5BFA">
        <w:t xml:space="preserve"> (Table 1)</w:t>
      </w:r>
      <w:r w:rsidR="00CC08F3">
        <w:t xml:space="preserve">  </w:t>
      </w:r>
      <w:r w:rsidR="00BB3CDE">
        <w:t>As can be observed in Table 3, m</w:t>
      </w:r>
      <w:r>
        <w:t>ost respondents indicated that there was little movement between settings across the continuum.</w:t>
      </w:r>
    </w:p>
    <w:p w:rsidR="00636A46" w:rsidRDefault="00BB3CDE" w:rsidP="00CC08F3">
      <w:pPr>
        <w:spacing w:after="0"/>
        <w:ind w:firstLine="720"/>
      </w:pPr>
      <w:r>
        <w:t xml:space="preserve">The importance of student supports in LRE, there was a high degree of agreement among respondents (Table 4).  </w:t>
      </w:r>
      <w:r w:rsidR="00636A46">
        <w:t>100% of respondents said that differentiated instruction was necessary, 80% responded that a special education teacher was necessary, 80% responded that research-based teaching materials, 83% responded that research based intervention materials were necessary, 89% responded that common planning time for teachers working with students was necessary.  Supports such as teaching assistants, social work support, speech and language, reading and behavior specialists were perceived as somewhat necessary.  Most respondents felt that all the supports were at some level, somewhat necessary.</w:t>
      </w:r>
    </w:p>
    <w:p w:rsidR="00BB3CDE" w:rsidRDefault="00636A46" w:rsidP="00CC08F3">
      <w:pPr>
        <w:spacing w:after="0"/>
        <w:ind w:firstLine="720"/>
      </w:pPr>
      <w:r>
        <w:t>Virtually all the respondent indicated that their schools had special education teachers, teaching assts, research based teaching materials and intervention materials, differentiate</w:t>
      </w:r>
      <w:r w:rsidR="006206EC">
        <w:t>d instruction, social work serv</w:t>
      </w:r>
      <w:r>
        <w:t>es and speech/language pathologists available to serve their students with special needs.  Resources such as common planning time for teachers and reading and behavior specialists were less common among respondents</w:t>
      </w:r>
      <w:r w:rsidR="00BB3CDE">
        <w:t xml:space="preserve"> (Table 5)</w:t>
      </w:r>
    </w:p>
    <w:p w:rsidR="00636A46" w:rsidRDefault="00636A46" w:rsidP="00895667">
      <w:pPr>
        <w:spacing w:after="0"/>
      </w:pPr>
      <w:r>
        <w:t>.</w:t>
      </w:r>
    </w:p>
    <w:p w:rsidR="00636A46" w:rsidRDefault="00BB3CDE" w:rsidP="00CC08F3">
      <w:pPr>
        <w:spacing w:after="0"/>
        <w:ind w:firstLine="720"/>
      </w:pPr>
      <w:r>
        <w:lastRenderedPageBreak/>
        <w:t>Again</w:t>
      </w:r>
      <w:r w:rsidR="00CC08F3">
        <w:t>,</w:t>
      </w:r>
      <w:r>
        <w:t xml:space="preserve"> there was a high level of agreement among respondents regarding</w:t>
      </w:r>
      <w:r w:rsidR="00636A46" w:rsidRPr="004F3D14">
        <w:t>, which professionals should be involved in the transition of a studen</w:t>
      </w:r>
      <w:r>
        <w:t xml:space="preserve">t to a less restrictive setting (Table 6).  </w:t>
      </w:r>
      <w:r w:rsidR="00636A46">
        <w:t xml:space="preserve">94% of respondents agreed that a special education teacher was essential67% responded that a school administrator should be involved and 58% responded that a resource special education teacher should be involved in all cases.  53% responded   that a school psychologist should be involved on a case by case basis, 64% stated that </w:t>
      </w:r>
      <w:r w:rsidR="00D16A14">
        <w:t>a social worker should be invol</w:t>
      </w:r>
      <w:r w:rsidR="00636A46">
        <w:t>ved on a case by case basis, and 58% responded that the school principal should be involved on a case-by case basis.</w:t>
      </w:r>
    </w:p>
    <w:p w:rsidR="00636A46" w:rsidRDefault="00D16A14" w:rsidP="00CC08F3">
      <w:pPr>
        <w:spacing w:after="0"/>
        <w:ind w:firstLine="720"/>
        <w:rPr>
          <w:bCs/>
        </w:rPr>
      </w:pPr>
      <w:r>
        <w:t>The communication among professionals and how that communication should be conducted once a student has transitioned to LRE</w:t>
      </w:r>
      <w:r w:rsidR="00CF58ED">
        <w:t xml:space="preserve"> questions resulted in a certain amount of uniformity of responses (Tables 7 and 8</w:t>
      </w:r>
      <w:r w:rsidR="00CC08F3">
        <w:t>).</w:t>
      </w:r>
      <w:r w:rsidR="00CC08F3">
        <w:rPr>
          <w:bCs/>
        </w:rPr>
        <w:t xml:space="preserve">  </w:t>
      </w:r>
      <w:r w:rsidR="00636A46">
        <w:rPr>
          <w:bCs/>
        </w:rPr>
        <w:t>100% of respondents stated that the teachers involved in a student’s transition to LRE should communicate weekly, 58% stated that psychologists or social workers should be involved in the communication weekly, and 64% responded that special education coordinators/case managers should communicate weekly.  With regards to a building level administrators</w:t>
      </w:r>
      <w:r>
        <w:rPr>
          <w:bCs/>
        </w:rPr>
        <w:t>’</w:t>
      </w:r>
      <w:r w:rsidR="00636A46">
        <w:rPr>
          <w:bCs/>
        </w:rPr>
        <w:t xml:space="preserve"> involvement, 72% responded that they should communicate w</w:t>
      </w:r>
      <w:r>
        <w:rPr>
          <w:bCs/>
        </w:rPr>
        <w:t xml:space="preserve">ith the team monthly.  The </w:t>
      </w:r>
      <w:r w:rsidR="00636A46">
        <w:rPr>
          <w:bCs/>
        </w:rPr>
        <w:t>majority of respondents, 81%, stated that the communication should be face-to-face.</w:t>
      </w:r>
    </w:p>
    <w:p w:rsidR="00895667" w:rsidRDefault="00895667" w:rsidP="00895667">
      <w:pPr>
        <w:spacing w:after="0"/>
        <w:rPr>
          <w:bCs/>
        </w:rPr>
      </w:pPr>
    </w:p>
    <w:p w:rsidR="00636A46" w:rsidRPr="00F70A94" w:rsidRDefault="00636A46" w:rsidP="00895667">
      <w:pPr>
        <w:spacing w:after="0"/>
        <w:rPr>
          <w:b/>
          <w:bCs/>
        </w:rPr>
      </w:pPr>
      <w:r w:rsidRPr="00F70A94">
        <w:rPr>
          <w:b/>
          <w:bCs/>
        </w:rPr>
        <w:t>Conclusions:</w:t>
      </w:r>
    </w:p>
    <w:p w:rsidR="00764E9C" w:rsidRDefault="00A3234E" w:rsidP="00764E9C">
      <w:pPr>
        <w:spacing w:after="0"/>
      </w:pPr>
      <w:r>
        <w:tab/>
        <w:t>The survey results showed that even in districts as div</w:t>
      </w:r>
      <w:r w:rsidR="009E054B">
        <w:t xml:space="preserve">erse as NSSD 112, and the two </w:t>
      </w:r>
      <w:r>
        <w:t xml:space="preserve">special education districts, there is an even distribution </w:t>
      </w:r>
      <w:r w:rsidR="008E4E6D">
        <w:t xml:space="preserve">of students with special needs </w:t>
      </w:r>
      <w:r>
        <w:t>across the continuum of placements</w:t>
      </w:r>
      <w:r w:rsidR="00025151">
        <w:t xml:space="preserve">.  Based on the survey, </w:t>
      </w:r>
      <w:r>
        <w:t>there appears to be</w:t>
      </w:r>
      <w:r w:rsidR="00025151">
        <w:t xml:space="preserve"> limited mobility across the continuum, hence, once a child is placed in a particular setting, that child may remain in that setting throughout his or her educational career.  Although the literature gave few indications as to best practices for transitioning students across the continuum, the survey indicates that professionals working with special needs students agree </w:t>
      </w:r>
      <w:r w:rsidR="00764E9C">
        <w:t>as to what supports are most important and which professionals should be involved in such transitions.</w:t>
      </w:r>
    </w:p>
    <w:p w:rsidR="00764E9C" w:rsidRDefault="00764E9C">
      <w:r>
        <w:br w:type="page"/>
      </w:r>
    </w:p>
    <w:p w:rsidR="00DA28A8" w:rsidRDefault="00DA28A8" w:rsidP="00895667">
      <w:pPr>
        <w:spacing w:after="0"/>
      </w:pPr>
      <w:r w:rsidRPr="00DA28A8">
        <w:rPr>
          <w:b/>
        </w:rPr>
        <w:lastRenderedPageBreak/>
        <w:t>References</w:t>
      </w:r>
      <w:r>
        <w:t>:</w:t>
      </w:r>
    </w:p>
    <w:p w:rsidR="00DA28A8" w:rsidRDefault="00DA28A8" w:rsidP="00895667">
      <w:pPr>
        <w:spacing w:after="0"/>
      </w:pPr>
      <w:r>
        <w:t>Crockett, J. (2000) Viable alternatives for students with disabilities: Exploring the origins and interpretations of LRE. Exceptionality, 8(1), 43-60.</w:t>
      </w:r>
    </w:p>
    <w:p w:rsidR="00895667" w:rsidRDefault="00895667" w:rsidP="00895667">
      <w:pPr>
        <w:spacing w:after="0"/>
      </w:pPr>
    </w:p>
    <w:p w:rsidR="00DA28A8" w:rsidRDefault="00DA28A8" w:rsidP="00895667">
      <w:pPr>
        <w:spacing w:after="0"/>
      </w:pPr>
      <w:r>
        <w:t>Dwyer, K. (1990) Making the least restrictive environment work for children with serious emotional disturbance. Preventing School Failure, 34 (3), 14-22.</w:t>
      </w:r>
    </w:p>
    <w:p w:rsidR="00895667" w:rsidRDefault="00895667" w:rsidP="00895667">
      <w:pPr>
        <w:spacing w:after="0"/>
      </w:pPr>
    </w:p>
    <w:p w:rsidR="00DA28A8" w:rsidRDefault="00DA28A8" w:rsidP="00895667">
      <w:pPr>
        <w:spacing w:after="0"/>
      </w:pPr>
      <w:r>
        <w:t>Fuchs, D., Fuchs, L.S. &amp; Stecker, P.M. (2010) The “blurring of special education in a new continuum of general education placements and services. Exceptional Children 76 (3), 301-323.</w:t>
      </w:r>
    </w:p>
    <w:p w:rsidR="00895667" w:rsidRDefault="00895667" w:rsidP="00895667">
      <w:pPr>
        <w:spacing w:after="0"/>
      </w:pPr>
    </w:p>
    <w:p w:rsidR="00DA28A8" w:rsidRDefault="00DA28A8" w:rsidP="00895667">
      <w:pPr>
        <w:spacing w:after="0"/>
      </w:pPr>
      <w:r>
        <w:t>McLaughlin, M.J. (2010) Evolving interpretations of educational equity and students with disabilities. Exceptional Children 76 (3), 265-278.</w:t>
      </w:r>
    </w:p>
    <w:p w:rsidR="00895667" w:rsidRDefault="00895667" w:rsidP="00895667">
      <w:pPr>
        <w:spacing w:after="0"/>
      </w:pPr>
    </w:p>
    <w:p w:rsidR="00DA28A8" w:rsidRDefault="00DA28A8" w:rsidP="00895667">
      <w:pPr>
        <w:spacing w:after="0"/>
      </w:pPr>
      <w:r>
        <w:t>Moore, E. (Year?) Decision making processes to promote inclusive environments for students with disabilities. Catalyst for Change, 36 (1), 13-22.</w:t>
      </w:r>
    </w:p>
    <w:p w:rsidR="00895667" w:rsidRDefault="00895667" w:rsidP="00895667">
      <w:pPr>
        <w:spacing w:after="0"/>
      </w:pPr>
    </w:p>
    <w:p w:rsidR="00DA28A8" w:rsidRDefault="00DA28A8" w:rsidP="00895667">
      <w:pPr>
        <w:spacing w:after="0"/>
      </w:pPr>
      <w:r>
        <w:t>Palley, E. (2009) Civil rights for people with disabilities: Obstacles related to the least restrictive environment mandate. Journal of Social Work in Disability &amp; Rehabilitation, 8, 37-55.</w:t>
      </w:r>
    </w:p>
    <w:p w:rsidR="00895667" w:rsidRDefault="00895667" w:rsidP="00895667">
      <w:pPr>
        <w:spacing w:after="0"/>
      </w:pPr>
    </w:p>
    <w:p w:rsidR="00DA28A8" w:rsidRDefault="00DA28A8" w:rsidP="00895667">
      <w:pPr>
        <w:spacing w:after="0"/>
      </w:pPr>
      <w:r>
        <w:t>Rueda, R., Gallego, M.A. &amp; Moll, L.C. (2000). The least restrictive environment: A place or a context? Remedial and Special Education, 21 (2) 70-78.</w:t>
      </w:r>
    </w:p>
    <w:p w:rsidR="00E53CE0" w:rsidRDefault="00E53CE0" w:rsidP="00895667">
      <w:pPr>
        <w:spacing w:after="0" w:line="240" w:lineRule="auto"/>
      </w:pPr>
    </w:p>
    <w:p w:rsidR="00E53CE0" w:rsidRDefault="00E53CE0" w:rsidP="00895667">
      <w:pPr>
        <w:spacing w:after="0"/>
      </w:pPr>
    </w:p>
    <w:p w:rsidR="00E40163" w:rsidRDefault="00E40163" w:rsidP="00895667">
      <w:pPr>
        <w:spacing w:after="0"/>
      </w:pPr>
    </w:p>
    <w:sectPr w:rsidR="00E40163" w:rsidSect="00E4016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3DE" w:rsidRDefault="00D873DE" w:rsidP="00DA28A8">
      <w:pPr>
        <w:spacing w:after="0" w:line="240" w:lineRule="auto"/>
      </w:pPr>
      <w:r>
        <w:separator/>
      </w:r>
    </w:p>
  </w:endnote>
  <w:endnote w:type="continuationSeparator" w:id="0">
    <w:p w:rsidR="00D873DE" w:rsidRDefault="00D873DE" w:rsidP="00DA2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3DE" w:rsidRDefault="00D873DE" w:rsidP="00DA28A8">
      <w:pPr>
        <w:spacing w:after="0" w:line="240" w:lineRule="auto"/>
      </w:pPr>
      <w:r>
        <w:separator/>
      </w:r>
    </w:p>
  </w:footnote>
  <w:footnote w:type="continuationSeparator" w:id="0">
    <w:p w:rsidR="00D873DE" w:rsidRDefault="00D873DE" w:rsidP="00DA2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ECD" w:rsidRDefault="00191ECD">
    <w:pPr>
      <w:pStyle w:val="Header"/>
      <w:jc w:val="right"/>
    </w:pPr>
    <w:r>
      <w:t>LRE In Schools-Cooper/McCauley   -</w:t>
    </w:r>
    <w:sdt>
      <w:sdtPr>
        <w:id w:val="5081889"/>
        <w:docPartObj>
          <w:docPartGallery w:val="Page Numbers (Top of Page)"/>
          <w:docPartUnique/>
        </w:docPartObj>
      </w:sdtPr>
      <w:sdtContent>
        <w:fldSimple w:instr=" PAGE   \* MERGEFORMAT ">
          <w:r w:rsidR="008E4E6D">
            <w:rPr>
              <w:noProof/>
            </w:rPr>
            <w:t>10</w:t>
          </w:r>
        </w:fldSimple>
        <w:r>
          <w:t>-</w:t>
        </w:r>
      </w:sdtContent>
    </w:sdt>
  </w:p>
  <w:p w:rsidR="00191ECD" w:rsidRDefault="00191E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9D3"/>
    <w:multiLevelType w:val="hybridMultilevel"/>
    <w:tmpl w:val="0D4C6BF6"/>
    <w:lvl w:ilvl="0" w:tplc="03BCB1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7BCF"/>
    <w:multiLevelType w:val="hybridMultilevel"/>
    <w:tmpl w:val="0DB65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53CE0"/>
    <w:rsid w:val="00025151"/>
    <w:rsid w:val="00115973"/>
    <w:rsid w:val="00191ECD"/>
    <w:rsid w:val="001E5BFA"/>
    <w:rsid w:val="00211467"/>
    <w:rsid w:val="002A59F7"/>
    <w:rsid w:val="0035060C"/>
    <w:rsid w:val="00355443"/>
    <w:rsid w:val="003D33E2"/>
    <w:rsid w:val="004A4F8D"/>
    <w:rsid w:val="0054454A"/>
    <w:rsid w:val="00571B11"/>
    <w:rsid w:val="006206EC"/>
    <w:rsid w:val="00636A46"/>
    <w:rsid w:val="006B4776"/>
    <w:rsid w:val="00764E9C"/>
    <w:rsid w:val="008154AD"/>
    <w:rsid w:val="00895667"/>
    <w:rsid w:val="008E4E6D"/>
    <w:rsid w:val="009E054B"/>
    <w:rsid w:val="00A144BF"/>
    <w:rsid w:val="00A3234E"/>
    <w:rsid w:val="00B75146"/>
    <w:rsid w:val="00BB3CDE"/>
    <w:rsid w:val="00C63A5D"/>
    <w:rsid w:val="00C66A49"/>
    <w:rsid w:val="00CC08F3"/>
    <w:rsid w:val="00CF58ED"/>
    <w:rsid w:val="00D16A14"/>
    <w:rsid w:val="00D873DE"/>
    <w:rsid w:val="00D90042"/>
    <w:rsid w:val="00DA28A8"/>
    <w:rsid w:val="00E21732"/>
    <w:rsid w:val="00E40163"/>
    <w:rsid w:val="00E53CE0"/>
    <w:rsid w:val="00F70A94"/>
    <w:rsid w:val="00FF5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1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3CE0"/>
    <w:rPr>
      <w:color w:val="0000FF"/>
      <w:u w:val="single"/>
    </w:rPr>
  </w:style>
  <w:style w:type="paragraph" w:styleId="ListParagraph">
    <w:name w:val="List Paragraph"/>
    <w:basedOn w:val="Normal"/>
    <w:uiPriority w:val="34"/>
    <w:qFormat/>
    <w:rsid w:val="00636A46"/>
    <w:pPr>
      <w:ind w:left="720"/>
      <w:contextualSpacing/>
    </w:pPr>
  </w:style>
  <w:style w:type="character" w:customStyle="1" w:styleId="notranslate">
    <w:name w:val="notranslate"/>
    <w:basedOn w:val="DefaultParagraphFont"/>
    <w:rsid w:val="00D90042"/>
  </w:style>
  <w:style w:type="paragraph" w:styleId="Header">
    <w:name w:val="header"/>
    <w:basedOn w:val="Normal"/>
    <w:link w:val="HeaderChar"/>
    <w:uiPriority w:val="99"/>
    <w:unhideWhenUsed/>
    <w:rsid w:val="00DA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A8"/>
  </w:style>
  <w:style w:type="paragraph" w:styleId="Footer">
    <w:name w:val="footer"/>
    <w:basedOn w:val="Normal"/>
    <w:link w:val="FooterChar"/>
    <w:uiPriority w:val="99"/>
    <w:semiHidden/>
    <w:unhideWhenUsed/>
    <w:rsid w:val="00DA28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8A8"/>
  </w:style>
  <w:style w:type="paragraph" w:styleId="BalloonText">
    <w:name w:val="Balloon Text"/>
    <w:basedOn w:val="Normal"/>
    <w:link w:val="BalloonTextChar"/>
    <w:uiPriority w:val="99"/>
    <w:semiHidden/>
    <w:unhideWhenUsed/>
    <w:rsid w:val="003D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2007_Workbook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Current Position of Respondents</a:t>
            </a:r>
          </a:p>
        </c:rich>
      </c:tx>
    </c:title>
    <c:plotArea>
      <c:layout>
        <c:manualLayout>
          <c:layoutTarget val="inner"/>
          <c:xMode val="edge"/>
          <c:yMode val="edge"/>
          <c:x val="5.4307322161652877E-2"/>
          <c:y val="3.0820806490097837E-2"/>
          <c:w val="0.91150464365031292"/>
          <c:h val="0.5618010816829716"/>
        </c:manualLayout>
      </c:layout>
      <c:barChart>
        <c:barDir val="col"/>
        <c:grouping val="clustered"/>
        <c:ser>
          <c:idx val="0"/>
          <c:order val="0"/>
          <c:tx>
            <c:strRef>
              <c:f>'Sheet1'!$B$1</c:f>
              <c:strCache>
                <c:ptCount val="1"/>
                <c:pt idx="0">
                  <c:v>Teacher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'Sheet1'!$B$2:$B$6</c:f>
              <c:numCache>
                <c:formatCode>General</c:formatCode>
                <c:ptCount val="5"/>
                <c:pt idx="0">
                  <c:v>3</c:v>
                </c:pt>
              </c:numCache>
            </c:numRef>
          </c:val>
        </c:ser>
        <c:ser>
          <c:idx val="1"/>
          <c:order val="1"/>
          <c:tx>
            <c:strRef>
              <c:f>'Sheet1'!$C$1</c:f>
              <c:strCache>
                <c:ptCount val="1"/>
                <c:pt idx="0">
                  <c:v>Case manager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'Sheet1'!$C$2:$C$6</c:f>
              <c:numCache>
                <c:formatCode>General</c:formatCode>
                <c:ptCount val="5"/>
                <c:pt idx="1">
                  <c:v>5</c:v>
                </c:pt>
              </c:numCache>
            </c:numRef>
          </c:val>
        </c:ser>
        <c:ser>
          <c:idx val="2"/>
          <c:order val="2"/>
          <c:tx>
            <c:strRef>
              <c:f>'Sheet1'!$D$1</c:f>
              <c:strCache>
                <c:ptCount val="1"/>
                <c:pt idx="0">
                  <c:v>Administrator </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'Sheet1'!$D$2:$D$6</c:f>
              <c:numCache>
                <c:formatCode>General</c:formatCode>
                <c:ptCount val="5"/>
                <c:pt idx="2">
                  <c:v>18</c:v>
                </c:pt>
              </c:numCache>
            </c:numRef>
          </c:val>
        </c:ser>
        <c:ser>
          <c:idx val="3"/>
          <c:order val="3"/>
          <c:tx>
            <c:strRef>
              <c:f>'Sheet1'!$E$1</c:f>
              <c:strCache>
                <c:ptCount val="1"/>
                <c:pt idx="0">
                  <c:v>Psychologist</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'Sheet1'!$E$2:$E$6</c:f>
              <c:numCache>
                <c:formatCode>General</c:formatCode>
                <c:ptCount val="5"/>
                <c:pt idx="3">
                  <c:v>8</c:v>
                </c:pt>
              </c:numCache>
            </c:numRef>
          </c:val>
        </c:ser>
        <c:ser>
          <c:idx val="4"/>
          <c:order val="4"/>
          <c:tx>
            <c:strRef>
              <c:f>'Sheet1'!$F$1</c:f>
              <c:strCache>
                <c:ptCount val="1"/>
                <c:pt idx="0">
                  <c:v>Special education learning coordinator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'Sheet1'!$F$2:$F$6</c:f>
              <c:numCache>
                <c:formatCode>General</c:formatCode>
                <c:ptCount val="5"/>
                <c:pt idx="4">
                  <c:v>2</c:v>
                </c:pt>
              </c:numCache>
            </c:numRef>
          </c:val>
        </c:ser>
        <c:gapWidth val="75"/>
        <c:overlap val="-25"/>
        <c:axId val="64356352"/>
        <c:axId val="64357888"/>
      </c:barChart>
      <c:catAx>
        <c:axId val="64356352"/>
        <c:scaling>
          <c:orientation val="minMax"/>
        </c:scaling>
        <c:axPos val="b"/>
        <c:majorTickMark val="none"/>
        <c:tickLblPos val="nextTo"/>
        <c:crossAx val="64357888"/>
        <c:crosses val="autoZero"/>
        <c:auto val="1"/>
        <c:lblAlgn val="ctr"/>
        <c:lblOffset val="100"/>
      </c:catAx>
      <c:valAx>
        <c:axId val="64357888"/>
        <c:scaling>
          <c:orientation val="minMax"/>
        </c:scaling>
        <c:axPos val="l"/>
        <c:majorGridlines/>
        <c:numFmt formatCode="General" sourceLinked="1"/>
        <c:majorTickMark val="none"/>
        <c:tickLblPos val="nextTo"/>
        <c:spPr>
          <a:ln w="9525">
            <a:noFill/>
          </a:ln>
        </c:spPr>
        <c:crossAx val="64356352"/>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percentage of your special needs students are served in each capacity?</a:t>
            </a:r>
          </a:p>
        </c:rich>
      </c:tx>
    </c:title>
    <c:plotArea>
      <c:layout/>
      <c:barChart>
        <c:barDir val="col"/>
        <c:grouping val="clustered"/>
        <c:ser>
          <c:idx val="0"/>
          <c:order val="0"/>
          <c:tx>
            <c:strRef>
              <c:f>Sheet1!$B$1</c:f>
              <c:strCache>
                <c:ptCount val="1"/>
                <c:pt idx="0">
                  <c:v>0-20%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Sheet1!$B$2:$B$5</c:f>
              <c:numCache>
                <c:formatCode>General</c:formatCode>
                <c:ptCount val="4"/>
                <c:pt idx="0">
                  <c:v>24</c:v>
                </c:pt>
                <c:pt idx="1">
                  <c:v>16</c:v>
                </c:pt>
                <c:pt idx="2">
                  <c:v>13</c:v>
                </c:pt>
                <c:pt idx="3">
                  <c:v>19</c:v>
                </c:pt>
              </c:numCache>
            </c:numRef>
          </c:val>
        </c:ser>
        <c:ser>
          <c:idx val="1"/>
          <c:order val="1"/>
          <c:tx>
            <c:strRef>
              <c:f>Sheet1!$C$1</c:f>
              <c:strCache>
                <c:ptCount val="1"/>
                <c:pt idx="0">
                  <c:v>21-40%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Sheet1!$C$2:$C$5</c:f>
              <c:numCache>
                <c:formatCode>General</c:formatCode>
                <c:ptCount val="4"/>
                <c:pt idx="0">
                  <c:v>1</c:v>
                </c:pt>
                <c:pt idx="1">
                  <c:v>3</c:v>
                </c:pt>
                <c:pt idx="2">
                  <c:v>14</c:v>
                </c:pt>
                <c:pt idx="3">
                  <c:v>7</c:v>
                </c:pt>
              </c:numCache>
            </c:numRef>
          </c:val>
        </c:ser>
        <c:ser>
          <c:idx val="2"/>
          <c:order val="2"/>
          <c:tx>
            <c:strRef>
              <c:f>Sheet1!$D$1</c:f>
              <c:strCache>
                <c:ptCount val="1"/>
                <c:pt idx="0">
                  <c:v>41-60%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Sheet1!$D$2:$D$5</c:f>
              <c:numCache>
                <c:formatCode>General</c:formatCode>
                <c:ptCount val="4"/>
                <c:pt idx="0">
                  <c:v>2</c:v>
                </c:pt>
                <c:pt idx="1">
                  <c:v>5</c:v>
                </c:pt>
                <c:pt idx="2">
                  <c:v>3</c:v>
                </c:pt>
                <c:pt idx="3">
                  <c:v>1</c:v>
                </c:pt>
              </c:numCache>
            </c:numRef>
          </c:val>
        </c:ser>
        <c:ser>
          <c:idx val="3"/>
          <c:order val="3"/>
          <c:tx>
            <c:strRef>
              <c:f>Sheet1!$E$1</c:f>
              <c:strCache>
                <c:ptCount val="1"/>
                <c:pt idx="0">
                  <c:v>61-80%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Sheet1!$E$2:$E$5</c:f>
              <c:numCache>
                <c:formatCode>General</c:formatCode>
                <c:ptCount val="4"/>
                <c:pt idx="0">
                  <c:v>3</c:v>
                </c:pt>
                <c:pt idx="1">
                  <c:v>5</c:v>
                </c:pt>
                <c:pt idx="2">
                  <c:v>1</c:v>
                </c:pt>
                <c:pt idx="3">
                  <c:v>2</c:v>
                </c:pt>
              </c:numCache>
            </c:numRef>
          </c:val>
        </c:ser>
        <c:ser>
          <c:idx val="4"/>
          <c:order val="4"/>
          <c:tx>
            <c:strRef>
              <c:f>Sheet1!$F$1</c:f>
              <c:strCache>
                <c:ptCount val="1"/>
                <c:pt idx="0">
                  <c:v>81-100%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Sheet1!$F$2:$F$5</c:f>
              <c:numCache>
                <c:formatCode>General</c:formatCode>
                <c:ptCount val="4"/>
                <c:pt idx="0">
                  <c:v>1</c:v>
                </c:pt>
                <c:pt idx="1">
                  <c:v>2</c:v>
                </c:pt>
                <c:pt idx="2">
                  <c:v>0</c:v>
                </c:pt>
                <c:pt idx="3">
                  <c:v>4</c:v>
                </c:pt>
              </c:numCache>
            </c:numRef>
          </c:val>
        </c:ser>
        <c:dLbls>
          <c:showVal val="1"/>
        </c:dLbls>
        <c:axId val="66106880"/>
        <c:axId val="66108416"/>
      </c:barChart>
      <c:catAx>
        <c:axId val="66106880"/>
        <c:scaling>
          <c:orientation val="minMax"/>
        </c:scaling>
        <c:axPos val="b"/>
        <c:tickLblPos val="nextTo"/>
        <c:crossAx val="66108416"/>
        <c:crosses val="autoZero"/>
        <c:auto val="1"/>
        <c:lblAlgn val="ctr"/>
        <c:lblOffset val="100"/>
      </c:catAx>
      <c:valAx>
        <c:axId val="66108416"/>
        <c:scaling>
          <c:orientation val="minMax"/>
        </c:scaling>
        <c:axPos val="l"/>
        <c:majorGridlines/>
        <c:title>
          <c:tx>
            <c:rich>
              <a:bodyPr/>
              <a:lstStyle/>
              <a:p>
                <a:pPr>
                  <a:defRPr/>
                </a:pPr>
                <a:r>
                  <a:rPr lang="en-US"/>
                  <a:t>Number of responses</a:t>
                </a:r>
              </a:p>
            </c:rich>
          </c:tx>
        </c:title>
        <c:numFmt formatCode="General" sourceLinked="1"/>
        <c:tickLblPos val="nextTo"/>
        <c:crossAx val="66106880"/>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pieChart>
        <c:varyColors val="1"/>
        <c:ser>
          <c:idx val="0"/>
          <c:order val="0"/>
          <c:tx>
            <c:strRef>
              <c:f>'Sheet1'!$B$1</c:f>
              <c:strCache>
                <c:ptCount val="1"/>
                <c:pt idx="0">
                  <c:v>0-20%</c:v>
                </c:pt>
              </c:strCache>
            </c:strRef>
          </c:tx>
          <c:dLbls>
            <c:showVal val="1"/>
            <c:showCatName val="1"/>
            <c:showSerName val="1"/>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'Sheet1'!$B$2:$B$5</c:f>
              <c:numCache>
                <c:formatCode>General</c:formatCode>
                <c:ptCount val="4"/>
                <c:pt idx="0">
                  <c:v>23</c:v>
                </c:pt>
                <c:pt idx="1">
                  <c:v>22</c:v>
                </c:pt>
                <c:pt idx="2">
                  <c:v>28</c:v>
                </c:pt>
                <c:pt idx="3">
                  <c:v>28</c:v>
                </c:pt>
              </c:numCache>
            </c:numRef>
          </c:val>
        </c:ser>
        <c:ser>
          <c:idx val="1"/>
          <c:order val="1"/>
          <c:tx>
            <c:strRef>
              <c:f>'Sheet1'!$C$1</c:f>
              <c:strCache>
                <c:ptCount val="1"/>
                <c:pt idx="0">
                  <c:v>21-40%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'Sheet1'!$C$2:$C$5</c:f>
              <c:numCache>
                <c:formatCode>General</c:formatCode>
                <c:ptCount val="4"/>
                <c:pt idx="0">
                  <c:v>6</c:v>
                </c:pt>
                <c:pt idx="1">
                  <c:v>3</c:v>
                </c:pt>
                <c:pt idx="2">
                  <c:v>1</c:v>
                </c:pt>
                <c:pt idx="3">
                  <c:v>0</c:v>
                </c:pt>
              </c:numCache>
            </c:numRef>
          </c:val>
        </c:ser>
        <c:ser>
          <c:idx val="2"/>
          <c:order val="2"/>
          <c:tx>
            <c:strRef>
              <c:f>'Sheet1'!$D$1</c:f>
              <c:strCache>
                <c:ptCount val="1"/>
                <c:pt idx="0">
                  <c:v>41-60%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'Sheet1'!$D$2:$D$5</c:f>
              <c:numCache>
                <c:formatCode>General</c:formatCode>
                <c:ptCount val="4"/>
                <c:pt idx="0">
                  <c:v>3</c:v>
                </c:pt>
                <c:pt idx="1">
                  <c:v>3</c:v>
                </c:pt>
                <c:pt idx="2">
                  <c:v>1</c:v>
                </c:pt>
                <c:pt idx="3">
                  <c:v>2</c:v>
                </c:pt>
              </c:numCache>
            </c:numRef>
          </c:val>
        </c:ser>
        <c:ser>
          <c:idx val="3"/>
          <c:order val="3"/>
          <c:tx>
            <c:strRef>
              <c:f>'Sheet1'!$E$1</c:f>
              <c:strCache>
                <c:ptCount val="1"/>
                <c:pt idx="0">
                  <c:v>61-80%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'Sheet1'!$E$2:$E$5</c:f>
              <c:numCache>
                <c:formatCode>General</c:formatCode>
                <c:ptCount val="4"/>
                <c:pt idx="0">
                  <c:v>0</c:v>
                </c:pt>
                <c:pt idx="1">
                  <c:v>2</c:v>
                </c:pt>
                <c:pt idx="2">
                  <c:v>0</c:v>
                </c:pt>
                <c:pt idx="3">
                  <c:v>0</c:v>
                </c:pt>
              </c:numCache>
            </c:numRef>
          </c:val>
        </c:ser>
        <c:ser>
          <c:idx val="4"/>
          <c:order val="4"/>
          <c:tx>
            <c:strRef>
              <c:f>'Sheet1'!$F$1</c:f>
              <c:strCache>
                <c:ptCount val="1"/>
                <c:pt idx="0">
                  <c:v>81-100%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'Sheet1'!$F$2:$F$5</c:f>
              <c:numCache>
                <c:formatCode>General</c:formatCode>
                <c:ptCount val="4"/>
                <c:pt idx="1">
                  <c:v>1</c:v>
                </c:pt>
                <c:pt idx="2">
                  <c:v>1</c:v>
                </c:pt>
                <c:pt idx="3">
                  <c:v>2</c:v>
                </c:pt>
              </c:numCache>
            </c:numRef>
          </c:val>
        </c:ser>
        <c:firstSliceAng val="0"/>
      </c:pieChart>
    </c:plotArea>
    <c:legend>
      <c:legendPos val="b"/>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are the most important supports for student success in the LRE?</a:t>
            </a:r>
          </a:p>
        </c:rich>
      </c:tx>
    </c:title>
    <c:plotArea>
      <c:layout/>
      <c:barChart>
        <c:barDir val="col"/>
        <c:grouping val="clustered"/>
        <c:ser>
          <c:idx val="0"/>
          <c:order val="0"/>
          <c:tx>
            <c:strRef>
              <c:f>Sheet1!$B$1</c:f>
              <c:strCache>
                <c:ptCount val="1"/>
                <c:pt idx="0">
                  <c:v>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Sheet1!$B$2:$B$11</c:f>
              <c:numCache>
                <c:formatCode>General</c:formatCode>
                <c:ptCount val="10"/>
                <c:pt idx="0">
                  <c:v>29</c:v>
                </c:pt>
                <c:pt idx="1">
                  <c:v>36</c:v>
                </c:pt>
                <c:pt idx="2">
                  <c:v>8</c:v>
                </c:pt>
                <c:pt idx="3">
                  <c:v>29</c:v>
                </c:pt>
                <c:pt idx="4">
                  <c:v>30</c:v>
                </c:pt>
                <c:pt idx="5">
                  <c:v>10</c:v>
                </c:pt>
                <c:pt idx="6">
                  <c:v>8</c:v>
                </c:pt>
                <c:pt idx="7">
                  <c:v>32</c:v>
                </c:pt>
                <c:pt idx="8">
                  <c:v>11</c:v>
                </c:pt>
                <c:pt idx="9">
                  <c:v>11</c:v>
                </c:pt>
              </c:numCache>
            </c:numRef>
          </c:val>
        </c:ser>
        <c:ser>
          <c:idx val="1"/>
          <c:order val="1"/>
          <c:tx>
            <c:strRef>
              <c:f>Sheet1!$C$1</c:f>
              <c:strCache>
                <c:ptCount val="1"/>
                <c:pt idx="0">
                  <c:v>Somewhat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Sheet1!$C$2:$C$11</c:f>
              <c:numCache>
                <c:formatCode>General</c:formatCode>
                <c:ptCount val="10"/>
                <c:pt idx="0">
                  <c:v>6</c:v>
                </c:pt>
                <c:pt idx="1">
                  <c:v>0</c:v>
                </c:pt>
                <c:pt idx="2">
                  <c:v>21</c:v>
                </c:pt>
                <c:pt idx="3">
                  <c:v>7</c:v>
                </c:pt>
                <c:pt idx="4">
                  <c:v>6</c:v>
                </c:pt>
                <c:pt idx="5">
                  <c:v>23</c:v>
                </c:pt>
                <c:pt idx="6">
                  <c:v>24</c:v>
                </c:pt>
                <c:pt idx="7">
                  <c:v>4</c:v>
                </c:pt>
                <c:pt idx="8">
                  <c:v>23</c:v>
                </c:pt>
                <c:pt idx="9">
                  <c:v>24</c:v>
                </c:pt>
              </c:numCache>
            </c:numRef>
          </c:val>
        </c:ser>
        <c:ser>
          <c:idx val="2"/>
          <c:order val="2"/>
          <c:tx>
            <c:strRef>
              <c:f>Sheet1!$D$1</c:f>
              <c:strCache>
                <c:ptCount val="1"/>
                <c:pt idx="0">
                  <c:v>Not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Sheet1!$D$2:$D$11</c:f>
              <c:numCache>
                <c:formatCode>General</c:formatCode>
                <c:ptCount val="10"/>
                <c:pt idx="0">
                  <c:v>0</c:v>
                </c:pt>
                <c:pt idx="1">
                  <c:v>0</c:v>
                </c:pt>
                <c:pt idx="2">
                  <c:v>6</c:v>
                </c:pt>
                <c:pt idx="3">
                  <c:v>0</c:v>
                </c:pt>
                <c:pt idx="4">
                  <c:v>0</c:v>
                </c:pt>
                <c:pt idx="5">
                  <c:v>2</c:v>
                </c:pt>
                <c:pt idx="6">
                  <c:v>3</c:v>
                </c:pt>
                <c:pt idx="7">
                  <c:v>0</c:v>
                </c:pt>
                <c:pt idx="8">
                  <c:v>1</c:v>
                </c:pt>
                <c:pt idx="9">
                  <c:v>0</c:v>
                </c:pt>
              </c:numCache>
            </c:numRef>
          </c:val>
        </c:ser>
        <c:dLbls>
          <c:showVal val="1"/>
        </c:dLbls>
        <c:axId val="64248064"/>
        <c:axId val="64401408"/>
      </c:barChart>
      <c:catAx>
        <c:axId val="64248064"/>
        <c:scaling>
          <c:orientation val="minMax"/>
        </c:scaling>
        <c:axPos val="b"/>
        <c:tickLblPos val="nextTo"/>
        <c:crossAx val="64401408"/>
        <c:crosses val="autoZero"/>
        <c:auto val="1"/>
        <c:lblAlgn val="ctr"/>
        <c:lblOffset val="100"/>
      </c:catAx>
      <c:valAx>
        <c:axId val="64401408"/>
        <c:scaling>
          <c:orientation val="minMax"/>
        </c:scaling>
        <c:axPos val="l"/>
        <c:majorGridlines/>
        <c:title>
          <c:tx>
            <c:rich>
              <a:bodyPr/>
              <a:lstStyle/>
              <a:p>
                <a:pPr>
                  <a:defRPr/>
                </a:pPr>
                <a:r>
                  <a:rPr lang="en-US"/>
                  <a:t>Number of responses</a:t>
                </a:r>
              </a:p>
            </c:rich>
          </c:tx>
        </c:title>
        <c:numFmt formatCode="General" sourceLinked="1"/>
        <c:tickLblPos val="nextTo"/>
        <c:crossAx val="64248064"/>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Sheet1!$B$2:$B$11</c:f>
              <c:numCache>
                <c:formatCode>General</c:formatCode>
                <c:ptCount val="10"/>
                <c:pt idx="0">
                  <c:v>35</c:v>
                </c:pt>
                <c:pt idx="1">
                  <c:v>35</c:v>
                </c:pt>
                <c:pt idx="2">
                  <c:v>36</c:v>
                </c:pt>
                <c:pt idx="3">
                  <c:v>35</c:v>
                </c:pt>
                <c:pt idx="4">
                  <c:v>36</c:v>
                </c:pt>
                <c:pt idx="5">
                  <c:v>36</c:v>
                </c:pt>
                <c:pt idx="6">
                  <c:v>36</c:v>
                </c:pt>
                <c:pt idx="7">
                  <c:v>27</c:v>
                </c:pt>
                <c:pt idx="8">
                  <c:v>26</c:v>
                </c:pt>
                <c:pt idx="9">
                  <c:v>23</c:v>
                </c:pt>
              </c:numCache>
            </c:numRef>
          </c:val>
        </c:ser>
        <c:ser>
          <c:idx val="1"/>
          <c:order val="1"/>
          <c:tx>
            <c:strRef>
              <c:f>Sheet1!$C$1</c:f>
              <c:strCache>
                <c:ptCount val="1"/>
                <c:pt idx="0">
                  <c:v>Unavailable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Sheet1!$C$2:$C$11</c:f>
              <c:numCache>
                <c:formatCode>General</c:formatCode>
                <c:ptCount val="10"/>
                <c:pt idx="0">
                  <c:v>1</c:v>
                </c:pt>
                <c:pt idx="1">
                  <c:v>1</c:v>
                </c:pt>
                <c:pt idx="2">
                  <c:v>0</c:v>
                </c:pt>
                <c:pt idx="3">
                  <c:v>1</c:v>
                </c:pt>
                <c:pt idx="4">
                  <c:v>0</c:v>
                </c:pt>
                <c:pt idx="5">
                  <c:v>0</c:v>
                </c:pt>
                <c:pt idx="6">
                  <c:v>0</c:v>
                </c:pt>
                <c:pt idx="7">
                  <c:v>9</c:v>
                </c:pt>
                <c:pt idx="8">
                  <c:v>10</c:v>
                </c:pt>
                <c:pt idx="9">
                  <c:v>13</c:v>
                </c:pt>
              </c:numCache>
            </c:numRef>
          </c:val>
        </c:ser>
        <c:dLbls>
          <c:showVal val="1"/>
        </c:dLbls>
        <c:gapWidth val="75"/>
        <c:axId val="65934848"/>
        <c:axId val="65936384"/>
      </c:barChart>
      <c:catAx>
        <c:axId val="65934848"/>
        <c:scaling>
          <c:orientation val="minMax"/>
        </c:scaling>
        <c:axPos val="b"/>
        <c:majorTickMark val="none"/>
        <c:tickLblPos val="nextTo"/>
        <c:crossAx val="65936384"/>
        <c:crosses val="autoZero"/>
        <c:auto val="1"/>
        <c:lblAlgn val="ctr"/>
        <c:lblOffset val="100"/>
      </c:catAx>
      <c:valAx>
        <c:axId val="65936384"/>
        <c:scaling>
          <c:orientation val="minMax"/>
        </c:scaling>
        <c:axPos val="l"/>
        <c:numFmt formatCode="General" sourceLinked="1"/>
        <c:majorTickMark val="none"/>
        <c:tickLblPos val="nextTo"/>
        <c:crossAx val="65934848"/>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At the school level, which professionals should be involved in the transition of a student to a less restrictive setting?</a:t>
            </a:r>
          </a:p>
        </c:rich>
      </c:tx>
    </c:title>
    <c:plotArea>
      <c:layout/>
      <c:barChart>
        <c:barDir val="col"/>
        <c:grouping val="clustered"/>
        <c:ser>
          <c:idx val="0"/>
          <c:order val="0"/>
          <c:tx>
            <c:strRef>
              <c:f>Sheet2!$B$1</c:f>
              <c:strCache>
                <c:ptCount val="1"/>
                <c:pt idx="0">
                  <c:v>Essential in All Cases</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Sheet2!$B$2:$B$8</c:f>
              <c:numCache>
                <c:formatCode>General</c:formatCode>
                <c:ptCount val="7"/>
                <c:pt idx="0">
                  <c:v>34</c:v>
                </c:pt>
                <c:pt idx="1">
                  <c:v>17</c:v>
                </c:pt>
                <c:pt idx="2">
                  <c:v>13</c:v>
                </c:pt>
                <c:pt idx="3">
                  <c:v>21</c:v>
                </c:pt>
                <c:pt idx="4">
                  <c:v>24</c:v>
                </c:pt>
                <c:pt idx="5">
                  <c:v>14</c:v>
                </c:pt>
                <c:pt idx="6">
                  <c:v>1</c:v>
                </c:pt>
              </c:numCache>
            </c:numRef>
          </c:val>
        </c:ser>
        <c:ser>
          <c:idx val="1"/>
          <c:order val="1"/>
          <c:tx>
            <c:strRef>
              <c:f>Sheet2!$C$1</c:f>
              <c:strCache>
                <c:ptCount val="1"/>
                <c:pt idx="0">
                  <c:v>Case-by-Case Only</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Sheet2!$C$2:$C$8</c:f>
              <c:numCache>
                <c:formatCode>General</c:formatCode>
                <c:ptCount val="7"/>
                <c:pt idx="0">
                  <c:v>2</c:v>
                </c:pt>
                <c:pt idx="1">
                  <c:v>19</c:v>
                </c:pt>
                <c:pt idx="2">
                  <c:v>23</c:v>
                </c:pt>
                <c:pt idx="3">
                  <c:v>14</c:v>
                </c:pt>
                <c:pt idx="4">
                  <c:v>12</c:v>
                </c:pt>
                <c:pt idx="5">
                  <c:v>21</c:v>
                </c:pt>
                <c:pt idx="6">
                  <c:v>35</c:v>
                </c:pt>
              </c:numCache>
            </c:numRef>
          </c:val>
        </c:ser>
        <c:axId val="65973248"/>
        <c:axId val="65999616"/>
      </c:barChart>
      <c:catAx>
        <c:axId val="65973248"/>
        <c:scaling>
          <c:orientation val="minMax"/>
        </c:scaling>
        <c:axPos val="b"/>
        <c:majorTickMark val="none"/>
        <c:tickLblPos val="nextTo"/>
        <c:crossAx val="65999616"/>
        <c:crosses val="autoZero"/>
        <c:auto val="1"/>
        <c:lblAlgn val="ctr"/>
        <c:lblOffset val="100"/>
      </c:catAx>
      <c:valAx>
        <c:axId val="65999616"/>
        <c:scaling>
          <c:orientation val="minMax"/>
        </c:scaling>
        <c:axPos val="l"/>
        <c:majorGridlines/>
        <c:numFmt formatCode="General" sourceLinked="1"/>
        <c:majorTickMark val="none"/>
        <c:tickLblPos val="nextTo"/>
        <c:crossAx val="65973248"/>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When transitioning a student to a less restrictive setting, which team members should communicate, and how often?</a:t>
            </a:r>
          </a:p>
        </c:rich>
      </c:tx>
    </c:title>
    <c:plotArea>
      <c:layout/>
      <c:barChart>
        <c:barDir val="col"/>
        <c:grouping val="clustered"/>
        <c:ser>
          <c:idx val="0"/>
          <c:order val="0"/>
          <c:tx>
            <c:strRef>
              <c:f>Sheet3!$B$1</c:f>
              <c:strCache>
                <c:ptCount val="1"/>
                <c:pt idx="0">
                  <c:v>Weekly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Sheet3!$B$2:$B$5</c:f>
              <c:numCache>
                <c:formatCode>General</c:formatCode>
                <c:ptCount val="4"/>
                <c:pt idx="0">
                  <c:v>36</c:v>
                </c:pt>
                <c:pt idx="1">
                  <c:v>21</c:v>
                </c:pt>
                <c:pt idx="2">
                  <c:v>23</c:v>
                </c:pt>
                <c:pt idx="3">
                  <c:v>4</c:v>
                </c:pt>
              </c:numCache>
            </c:numRef>
          </c:val>
        </c:ser>
        <c:ser>
          <c:idx val="1"/>
          <c:order val="1"/>
          <c:tx>
            <c:strRef>
              <c:f>Sheet3!$C$1</c:f>
              <c:strCache>
                <c:ptCount val="1"/>
                <c:pt idx="0">
                  <c:v>Monthly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Sheet3!$C$2:$C$5</c:f>
              <c:numCache>
                <c:formatCode>General</c:formatCode>
                <c:ptCount val="4"/>
                <c:pt idx="0">
                  <c:v>0</c:v>
                </c:pt>
                <c:pt idx="1">
                  <c:v>14</c:v>
                </c:pt>
                <c:pt idx="2">
                  <c:v>12</c:v>
                </c:pt>
                <c:pt idx="3">
                  <c:v>26</c:v>
                </c:pt>
              </c:numCache>
            </c:numRef>
          </c:val>
        </c:ser>
        <c:ser>
          <c:idx val="2"/>
          <c:order val="2"/>
          <c:tx>
            <c:strRef>
              <c:f>Sheet3!$D$1</c:f>
              <c:strCache>
                <c:ptCount val="1"/>
                <c:pt idx="0">
                  <c:v>Quarterly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Sheet3!$D$2:$D$5</c:f>
              <c:numCache>
                <c:formatCode>General</c:formatCode>
                <c:ptCount val="4"/>
                <c:pt idx="0">
                  <c:v>0</c:v>
                </c:pt>
                <c:pt idx="1">
                  <c:v>1</c:v>
                </c:pt>
                <c:pt idx="2">
                  <c:v>1</c:v>
                </c:pt>
                <c:pt idx="3">
                  <c:v>7</c:v>
                </c:pt>
              </c:numCache>
            </c:numRef>
          </c:val>
        </c:ser>
        <c:axId val="66026496"/>
        <c:axId val="66040576"/>
      </c:barChart>
      <c:catAx>
        <c:axId val="66026496"/>
        <c:scaling>
          <c:orientation val="minMax"/>
        </c:scaling>
        <c:axPos val="b"/>
        <c:majorTickMark val="none"/>
        <c:tickLblPos val="nextTo"/>
        <c:crossAx val="66040576"/>
        <c:crosses val="autoZero"/>
        <c:auto val="1"/>
        <c:lblAlgn val="ctr"/>
        <c:lblOffset val="100"/>
      </c:catAx>
      <c:valAx>
        <c:axId val="66040576"/>
        <c:scaling>
          <c:orientation val="minMax"/>
        </c:scaling>
        <c:axPos val="l"/>
        <c:majorGridlines/>
        <c:numFmt formatCode="General" sourceLinked="1"/>
        <c:majorTickMark val="none"/>
        <c:tickLblPos val="nextTo"/>
        <c:crossAx val="66026496"/>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What is the most appropriate venue for this communication?</a:t>
            </a:r>
          </a:p>
        </c:rich>
      </c:tx>
    </c:title>
    <c:plotArea>
      <c:layout/>
      <c:barChart>
        <c:barDir val="col"/>
        <c:grouping val="clustered"/>
        <c:ser>
          <c:idx val="0"/>
          <c:order val="0"/>
          <c:cat>
            <c:strRef>
              <c:f>Sheet4!$A$1:$A$4</c:f>
              <c:strCache>
                <c:ptCount val="4"/>
                <c:pt idx="0">
                  <c:v> </c:v>
                </c:pt>
                <c:pt idx="1">
                  <c:v>Face-to-face</c:v>
                </c:pt>
                <c:pt idx="2">
                  <c:v>Phone</c:v>
                </c:pt>
                <c:pt idx="3">
                  <c:v>E-mail</c:v>
                </c:pt>
              </c:strCache>
            </c:strRef>
          </c:cat>
          <c:val>
            <c:numRef>
              <c:f>Sheet4!$B$1:$B$4</c:f>
              <c:numCache>
                <c:formatCode>General</c:formatCode>
                <c:ptCount val="4"/>
                <c:pt idx="1">
                  <c:v>29</c:v>
                </c:pt>
                <c:pt idx="2">
                  <c:v>1</c:v>
                </c:pt>
                <c:pt idx="3">
                  <c:v>6</c:v>
                </c:pt>
              </c:numCache>
            </c:numRef>
          </c:val>
        </c:ser>
        <c:gapWidth val="75"/>
        <c:overlap val="-25"/>
        <c:axId val="66052480"/>
        <c:axId val="66054016"/>
      </c:barChart>
      <c:catAx>
        <c:axId val="66052480"/>
        <c:scaling>
          <c:orientation val="minMax"/>
        </c:scaling>
        <c:axPos val="b"/>
        <c:majorTickMark val="none"/>
        <c:tickLblPos val="nextTo"/>
        <c:crossAx val="66054016"/>
        <c:crosses val="autoZero"/>
        <c:auto val="1"/>
        <c:lblAlgn val="ctr"/>
        <c:lblOffset val="100"/>
      </c:catAx>
      <c:valAx>
        <c:axId val="66054016"/>
        <c:scaling>
          <c:orientation val="minMax"/>
        </c:scaling>
        <c:axPos val="l"/>
        <c:majorGridlines/>
        <c:numFmt formatCode="General" sourceLinked="1"/>
        <c:majorTickMark val="none"/>
        <c:tickLblPos val="nextTo"/>
        <c:spPr>
          <a:ln w="9525">
            <a:noFill/>
          </a:ln>
        </c:spPr>
        <c:crossAx val="660524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2767</Words>
  <Characters>15775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2</cp:revision>
  <dcterms:created xsi:type="dcterms:W3CDTF">2010-04-25T16:11:00Z</dcterms:created>
  <dcterms:modified xsi:type="dcterms:W3CDTF">2010-04-25T16:11:00Z</dcterms:modified>
</cp:coreProperties>
</file>